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FB8E" w14:textId="744E5D90" w:rsidR="674A6A4E" w:rsidRPr="008339B6" w:rsidRDefault="77831972" w:rsidP="008339B6">
      <w:pPr>
        <w:spacing w:after="0"/>
        <w:rPr>
          <w:b/>
          <w:bCs/>
        </w:rPr>
      </w:pPr>
      <w:r w:rsidRPr="008339B6">
        <w:rPr>
          <w:b/>
          <w:bCs/>
        </w:rPr>
        <w:t xml:space="preserve">On </w:t>
      </w:r>
      <w:r w:rsidR="60790FC9" w:rsidRPr="008339B6">
        <w:rPr>
          <w:b/>
          <w:bCs/>
        </w:rPr>
        <w:t xml:space="preserve">Jurisdiction and Reasonable Apprehension of Bias: </w:t>
      </w:r>
      <w:r w:rsidR="71F6D90B" w:rsidRPr="008339B6">
        <w:rPr>
          <w:b/>
          <w:bCs/>
        </w:rPr>
        <w:t xml:space="preserve">Ontario </w:t>
      </w:r>
      <w:r w:rsidR="60790FC9" w:rsidRPr="008339B6">
        <w:rPr>
          <w:b/>
          <w:bCs/>
        </w:rPr>
        <w:t>Superior Court of Justice Sets Aside Arbitral Award</w:t>
      </w:r>
    </w:p>
    <w:p w14:paraId="28681C3C" w14:textId="4245DD35" w:rsidR="008339B6" w:rsidRPr="008339B6" w:rsidRDefault="008339B6" w:rsidP="008339B6">
      <w:pPr>
        <w:spacing w:after="0"/>
        <w:rPr>
          <w:b/>
          <w:bCs/>
          <w:sz w:val="28"/>
          <w:szCs w:val="28"/>
        </w:rPr>
      </w:pPr>
      <w:r w:rsidRPr="008339B6">
        <w:rPr>
          <w:b/>
          <w:bCs/>
        </w:rPr>
        <w:t>Kimberly De Oliveira, Summer Student</w:t>
      </w:r>
    </w:p>
    <w:p w14:paraId="0FBD4A50" w14:textId="44F159B7" w:rsidR="0402C7C1" w:rsidRDefault="0402C7C1" w:rsidP="0402C7C1">
      <w:pPr>
        <w:spacing w:after="0"/>
      </w:pPr>
    </w:p>
    <w:p w14:paraId="20375F6C" w14:textId="4FE614DD" w:rsidR="045B04DC" w:rsidRDefault="7E966F93" w:rsidP="253BEEC7">
      <w:pPr>
        <w:spacing w:after="0"/>
        <w:rPr>
          <w:rFonts w:ascii="Calibri" w:eastAsia="Calibri" w:hAnsi="Calibri" w:cs="Calibri"/>
          <w:color w:val="000000" w:themeColor="text1"/>
        </w:rPr>
      </w:pPr>
      <w:r w:rsidRPr="253BEEC7">
        <w:rPr>
          <w:rFonts w:ascii="Calibri" w:eastAsia="Calibri" w:hAnsi="Calibri" w:cs="Calibri"/>
          <w:color w:val="000000" w:themeColor="text1"/>
        </w:rPr>
        <w:t xml:space="preserve">In </w:t>
      </w:r>
      <w:hyperlink r:id="rId7" w:anchor="decision_88133" w:history="1">
        <w:r w:rsidRPr="00A77341">
          <w:rPr>
            <w:rStyle w:val="Hyperlink"/>
            <w:rFonts w:ascii="Calibri" w:eastAsia="Calibri" w:hAnsi="Calibri" w:cs="Calibri"/>
            <w:i/>
            <w:iCs/>
          </w:rPr>
          <w:t>Grace v The United Mexican States</w:t>
        </w:r>
        <w:r w:rsidRPr="00A77341">
          <w:rPr>
            <w:rStyle w:val="Hyperlink"/>
            <w:rFonts w:ascii="Calibri" w:eastAsia="Calibri" w:hAnsi="Calibri" w:cs="Calibri"/>
          </w:rPr>
          <w:t>, 2026 ONSC 2104</w:t>
        </w:r>
      </w:hyperlink>
      <w:r w:rsidRPr="253BEEC7">
        <w:rPr>
          <w:rFonts w:ascii="Calibri" w:eastAsia="Calibri" w:hAnsi="Calibri" w:cs="Calibri"/>
          <w:color w:val="000000" w:themeColor="text1"/>
        </w:rPr>
        <w:t xml:space="preserve">, the Ontario Superior Court of Justice (Commercial List) set aside </w:t>
      </w:r>
      <w:r w:rsidR="592D03A3" w:rsidRPr="253BEEC7">
        <w:rPr>
          <w:rFonts w:ascii="Calibri" w:eastAsia="Calibri" w:hAnsi="Calibri" w:cs="Calibri"/>
          <w:color w:val="000000" w:themeColor="text1"/>
        </w:rPr>
        <w:t>an</w:t>
      </w:r>
      <w:r w:rsidRPr="253BEEC7">
        <w:rPr>
          <w:rFonts w:ascii="Calibri" w:eastAsia="Calibri" w:hAnsi="Calibri" w:cs="Calibri"/>
          <w:color w:val="000000" w:themeColor="text1"/>
        </w:rPr>
        <w:t xml:space="preserve"> </w:t>
      </w:r>
      <w:r w:rsidR="69D2F437" w:rsidRPr="253BEEC7">
        <w:rPr>
          <w:rFonts w:ascii="Calibri" w:eastAsia="Calibri" w:hAnsi="Calibri" w:cs="Calibri"/>
          <w:color w:val="000000" w:themeColor="text1"/>
        </w:rPr>
        <w:t>arbitral award</w:t>
      </w:r>
      <w:r w:rsidRPr="253BEEC7">
        <w:rPr>
          <w:rFonts w:ascii="Calibri" w:eastAsia="Calibri" w:hAnsi="Calibri" w:cs="Calibri"/>
          <w:color w:val="000000" w:themeColor="text1"/>
        </w:rPr>
        <w:t xml:space="preserve"> </w:t>
      </w:r>
      <w:r w:rsidR="76E1AB01" w:rsidRPr="253BEEC7">
        <w:rPr>
          <w:rFonts w:ascii="Calibri" w:eastAsia="Calibri" w:hAnsi="Calibri" w:cs="Calibri"/>
          <w:color w:val="000000" w:themeColor="text1"/>
        </w:rPr>
        <w:t xml:space="preserve">for claims under the </w:t>
      </w:r>
      <w:r w:rsidR="76E1AB01" w:rsidRPr="253BEEC7">
        <w:rPr>
          <w:rFonts w:ascii="Calibri" w:eastAsia="Calibri" w:hAnsi="Calibri" w:cs="Calibri"/>
          <w:i/>
          <w:iCs/>
          <w:color w:val="000000" w:themeColor="text1"/>
        </w:rPr>
        <w:t>North American Free Trade Agreement</w:t>
      </w:r>
      <w:r w:rsidR="76E1AB01" w:rsidRPr="253BEEC7">
        <w:rPr>
          <w:rFonts w:ascii="Calibri" w:eastAsia="Calibri" w:hAnsi="Calibri" w:cs="Calibri"/>
          <w:color w:val="000000" w:themeColor="text1"/>
        </w:rPr>
        <w:t xml:space="preserve"> (the “</w:t>
      </w:r>
      <w:r w:rsidR="76E1AB01" w:rsidRPr="253BEEC7">
        <w:rPr>
          <w:rFonts w:ascii="Calibri" w:eastAsia="Calibri" w:hAnsi="Calibri" w:cs="Calibri"/>
          <w:b/>
          <w:bCs/>
          <w:color w:val="000000" w:themeColor="text1"/>
        </w:rPr>
        <w:t>NAFTA</w:t>
      </w:r>
      <w:r w:rsidR="76E1AB01" w:rsidRPr="253BEEC7">
        <w:rPr>
          <w:rFonts w:ascii="Calibri" w:eastAsia="Calibri" w:hAnsi="Calibri" w:cs="Calibri"/>
          <w:color w:val="000000" w:themeColor="text1"/>
        </w:rPr>
        <w:t xml:space="preserve">”). </w:t>
      </w:r>
      <w:r w:rsidR="1E2DF999" w:rsidRPr="253BEEC7">
        <w:rPr>
          <w:rFonts w:ascii="Calibri" w:eastAsia="Calibri" w:hAnsi="Calibri" w:cs="Calibri"/>
          <w:color w:val="000000" w:themeColor="text1"/>
        </w:rPr>
        <w:t xml:space="preserve">In applying the correctness standard of review, Dietrich </w:t>
      </w:r>
      <w:r w:rsidR="7DC0F44E" w:rsidRPr="253BEEC7">
        <w:rPr>
          <w:rFonts w:ascii="Calibri" w:eastAsia="Calibri" w:hAnsi="Calibri" w:cs="Calibri"/>
          <w:color w:val="000000" w:themeColor="text1"/>
        </w:rPr>
        <w:t xml:space="preserve">J </w:t>
      </w:r>
      <w:r w:rsidR="1E2DF999" w:rsidRPr="253BEEC7">
        <w:rPr>
          <w:rFonts w:ascii="Calibri" w:eastAsia="Calibri" w:hAnsi="Calibri" w:cs="Calibri"/>
          <w:color w:val="000000" w:themeColor="text1"/>
        </w:rPr>
        <w:t xml:space="preserve">found that the arbitral tribunal erred in </w:t>
      </w:r>
      <w:r w:rsidR="5ACAD554" w:rsidRPr="253BEEC7">
        <w:rPr>
          <w:rFonts w:ascii="Calibri" w:eastAsia="Calibri" w:hAnsi="Calibri" w:cs="Calibri"/>
          <w:color w:val="000000" w:themeColor="text1"/>
        </w:rPr>
        <w:t xml:space="preserve">determining that it lacked jurisdiction to hear claims submitted by Dual National </w:t>
      </w:r>
      <w:r w:rsidR="41E789B0" w:rsidRPr="253BEEC7">
        <w:rPr>
          <w:rFonts w:ascii="Calibri" w:eastAsia="Calibri" w:hAnsi="Calibri" w:cs="Calibri"/>
          <w:color w:val="000000" w:themeColor="text1"/>
        </w:rPr>
        <w:t>applicants and</w:t>
      </w:r>
      <w:r w:rsidR="5ACAD554" w:rsidRPr="253BEEC7">
        <w:rPr>
          <w:rFonts w:ascii="Calibri" w:eastAsia="Calibri" w:hAnsi="Calibri" w:cs="Calibri"/>
          <w:color w:val="000000" w:themeColor="text1"/>
        </w:rPr>
        <w:t xml:space="preserve"> hear claims for indirect loss. Justice Dietr</w:t>
      </w:r>
      <w:r w:rsidR="6BE28D2F" w:rsidRPr="253BEEC7">
        <w:rPr>
          <w:rFonts w:ascii="Calibri" w:eastAsia="Calibri" w:hAnsi="Calibri" w:cs="Calibri"/>
          <w:color w:val="000000" w:themeColor="text1"/>
        </w:rPr>
        <w:t xml:space="preserve">ich </w:t>
      </w:r>
      <w:r w:rsidR="45D744CB" w:rsidRPr="253BEEC7">
        <w:rPr>
          <w:rFonts w:ascii="Calibri" w:eastAsia="Calibri" w:hAnsi="Calibri" w:cs="Calibri"/>
          <w:color w:val="000000" w:themeColor="text1"/>
        </w:rPr>
        <w:t>also</w:t>
      </w:r>
      <w:r w:rsidR="24718F47" w:rsidRPr="253BEEC7">
        <w:rPr>
          <w:rFonts w:ascii="Calibri" w:eastAsia="Calibri" w:hAnsi="Calibri" w:cs="Calibri"/>
          <w:color w:val="000000" w:themeColor="text1"/>
        </w:rPr>
        <w:t xml:space="preserve"> concluded that </w:t>
      </w:r>
      <w:r w:rsidR="0026376E">
        <w:rPr>
          <w:rFonts w:ascii="Calibri" w:eastAsia="Calibri" w:hAnsi="Calibri" w:cs="Calibri"/>
          <w:color w:val="000000" w:themeColor="text1"/>
        </w:rPr>
        <w:t xml:space="preserve">there was a </w:t>
      </w:r>
      <w:r w:rsidR="0026376E" w:rsidRPr="253BEEC7">
        <w:rPr>
          <w:rFonts w:ascii="Calibri" w:eastAsia="Calibri" w:hAnsi="Calibri" w:cs="Calibri"/>
          <w:color w:val="000000" w:themeColor="text1"/>
        </w:rPr>
        <w:t xml:space="preserve">reasonable apprehension of bias </w:t>
      </w:r>
      <w:r w:rsidR="0026376E">
        <w:rPr>
          <w:rFonts w:ascii="Calibri" w:eastAsia="Calibri" w:hAnsi="Calibri" w:cs="Calibri"/>
          <w:color w:val="000000" w:themeColor="text1"/>
        </w:rPr>
        <w:t xml:space="preserve">with respect to </w:t>
      </w:r>
      <w:r w:rsidR="24718F47" w:rsidRPr="253BEEC7">
        <w:rPr>
          <w:rFonts w:ascii="Calibri" w:eastAsia="Calibri" w:hAnsi="Calibri" w:cs="Calibri"/>
          <w:color w:val="000000" w:themeColor="text1"/>
        </w:rPr>
        <w:t xml:space="preserve">one of the tribunal members. </w:t>
      </w:r>
    </w:p>
    <w:p w14:paraId="7757A75F" w14:textId="1261E8EA" w:rsidR="0402C7C1" w:rsidRDefault="0402C7C1" w:rsidP="0402C7C1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415894E" w14:textId="456149D8" w:rsidR="045B04DC" w:rsidRDefault="045B04DC" w:rsidP="0402C7C1">
      <w:pPr>
        <w:spacing w:after="0"/>
        <w:rPr>
          <w:b/>
          <w:bCs/>
        </w:rPr>
      </w:pPr>
      <w:r w:rsidRPr="0402C7C1">
        <w:rPr>
          <w:b/>
          <w:bCs/>
        </w:rPr>
        <w:t>Background</w:t>
      </w:r>
    </w:p>
    <w:p w14:paraId="67441605" w14:textId="1B3652EB" w:rsidR="7B67F402" w:rsidRDefault="7B67F402" w:rsidP="0402C7C1">
      <w:pPr>
        <w:spacing w:after="0"/>
      </w:pPr>
      <w:r w:rsidRPr="0402C7C1">
        <w:t xml:space="preserve">The </w:t>
      </w:r>
      <w:r w:rsidR="24B3A19D" w:rsidRPr="0402C7C1">
        <w:t>a</w:t>
      </w:r>
      <w:r w:rsidRPr="0402C7C1">
        <w:t>pplicants were a group of</w:t>
      </w:r>
      <w:r w:rsidR="2C682454" w:rsidRPr="0402C7C1">
        <w:t xml:space="preserve"> investors</w:t>
      </w:r>
      <w:r w:rsidRPr="0402C7C1">
        <w:t xml:space="preserve"> that owned</w:t>
      </w:r>
      <w:r w:rsidR="7F9C54BB" w:rsidRPr="0402C7C1">
        <w:t xml:space="preserve"> approximately 43.2% of a Mexican holding company</w:t>
      </w:r>
      <w:r w:rsidR="31CB8004" w:rsidRPr="0402C7C1">
        <w:t>, referred to as “</w:t>
      </w:r>
      <w:r w:rsidR="31CB8004" w:rsidRPr="0402C7C1">
        <w:rPr>
          <w:b/>
          <w:bCs/>
        </w:rPr>
        <w:t>Oro Negro</w:t>
      </w:r>
      <w:r w:rsidR="31CB8004" w:rsidRPr="0402C7C1">
        <w:t>”.</w:t>
      </w:r>
      <w:r w:rsidR="4CA99DF7" w:rsidRPr="0402C7C1">
        <w:t xml:space="preserve"> Between 2013 and 2015, Oro Negro leased its oil rigs to Mexico’s state-owned oil company, “</w:t>
      </w:r>
      <w:r w:rsidR="4CA99DF7" w:rsidRPr="0402C7C1">
        <w:rPr>
          <w:b/>
          <w:bCs/>
        </w:rPr>
        <w:t>Pemex</w:t>
      </w:r>
      <w:r w:rsidR="4CA99DF7" w:rsidRPr="0402C7C1">
        <w:t>”.</w:t>
      </w:r>
      <w:r w:rsidR="1AF5C721" w:rsidRPr="0402C7C1">
        <w:t xml:space="preserve"> The </w:t>
      </w:r>
      <w:r w:rsidR="0BCE659F" w:rsidRPr="0402C7C1">
        <w:t>a</w:t>
      </w:r>
      <w:r w:rsidR="1AF5C721" w:rsidRPr="0402C7C1">
        <w:t xml:space="preserve">pplicants alleged that Pemex drove Oro Negro out of business </w:t>
      </w:r>
      <w:r w:rsidR="3ED32CEF" w:rsidRPr="0402C7C1">
        <w:t>first by unilaterally making adverse amendments to the contracts, and later by terminating the contracts.</w:t>
      </w:r>
    </w:p>
    <w:p w14:paraId="56556EE4" w14:textId="3A9D1A8E" w:rsidR="0402C7C1" w:rsidRDefault="0402C7C1" w:rsidP="0402C7C1">
      <w:pPr>
        <w:spacing w:after="0"/>
      </w:pPr>
    </w:p>
    <w:p w14:paraId="66BDCE99" w14:textId="4BCAF06E" w:rsidR="14373067" w:rsidRDefault="14373067" w:rsidP="0402C7C1">
      <w:pPr>
        <w:spacing w:after="0"/>
      </w:pPr>
      <w:r>
        <w:t>In 2018, t</w:t>
      </w:r>
      <w:r w:rsidR="22AFCC4E">
        <w:t xml:space="preserve">he </w:t>
      </w:r>
      <w:r w:rsidR="4E57FBD7">
        <w:t>a</w:t>
      </w:r>
      <w:r w:rsidR="22AFCC4E">
        <w:t xml:space="preserve">pplicants commenced </w:t>
      </w:r>
      <w:r w:rsidR="7A4BCD9B">
        <w:t xml:space="preserve">an </w:t>
      </w:r>
      <w:r w:rsidR="0026376E">
        <w:t>a</w:t>
      </w:r>
      <w:r w:rsidR="7A4BCD9B">
        <w:t xml:space="preserve">rbitration, alleging that Mexico’s breach of the NAFTA caused them damages. </w:t>
      </w:r>
      <w:r w:rsidR="00D325EB">
        <w:t xml:space="preserve">The parties appointed a </w:t>
      </w:r>
      <w:r w:rsidR="7B9A1BB9">
        <w:t xml:space="preserve">three-member tribunal, and the hearing was held in Toronto in April 2022. Both Canada and the U.S. also participated as non-disputing parties. </w:t>
      </w:r>
    </w:p>
    <w:p w14:paraId="0412376D" w14:textId="1AE5F7D9" w:rsidR="0402C7C1" w:rsidRDefault="0402C7C1" w:rsidP="0402C7C1">
      <w:pPr>
        <w:spacing w:after="0"/>
      </w:pPr>
    </w:p>
    <w:p w14:paraId="53FC201C" w14:textId="4699B091" w:rsidR="7B62B512" w:rsidRDefault="7B62B512" w:rsidP="0402C7C1">
      <w:pPr>
        <w:spacing w:after="0"/>
      </w:pPr>
      <w:r w:rsidRPr="0402C7C1">
        <w:t xml:space="preserve">The </w:t>
      </w:r>
      <w:r w:rsidR="245166BD" w:rsidRPr="0402C7C1">
        <w:t>tribunal issued an award in August 2024.</w:t>
      </w:r>
      <w:r w:rsidR="6FD62B57" w:rsidRPr="0402C7C1">
        <w:t xml:space="preserve"> It determined that it had no jurisdiction over two of the applicants who were Dual Nationals, and over the remaining applicants’ claims that were for indirect loss. </w:t>
      </w:r>
    </w:p>
    <w:p w14:paraId="4154E3AD" w14:textId="13AA8C6F" w:rsidR="0402C7C1" w:rsidRDefault="0402C7C1" w:rsidP="0402C7C1">
      <w:pPr>
        <w:spacing w:after="0"/>
      </w:pPr>
    </w:p>
    <w:p w14:paraId="23EB0220" w14:textId="288C6B28" w:rsidR="469EDFF9" w:rsidRDefault="469EDFF9" w:rsidP="0402C7C1">
      <w:pPr>
        <w:spacing w:after="0"/>
      </w:pPr>
      <w:r w:rsidRPr="0402C7C1">
        <w:t xml:space="preserve">The applicants sought to have the award set aside, arguing that the tribunal </w:t>
      </w:r>
      <w:proofErr w:type="gramStart"/>
      <w:r w:rsidRPr="0402C7C1">
        <w:t>erred</w:t>
      </w:r>
      <w:proofErr w:type="gramEnd"/>
      <w:r w:rsidRPr="0402C7C1">
        <w:t xml:space="preserve"> in determining the jurisdiction issues and that </w:t>
      </w:r>
      <w:r w:rsidR="0026376E">
        <w:t xml:space="preserve">there was a reasonable apprehension of bias for </w:t>
      </w:r>
      <w:r w:rsidR="34A6395F" w:rsidRPr="0402C7C1">
        <w:t xml:space="preserve">one of the tribunal members. </w:t>
      </w:r>
    </w:p>
    <w:p w14:paraId="6A7255B6" w14:textId="085C63C7" w:rsidR="0402C7C1" w:rsidRDefault="0402C7C1" w:rsidP="3712CF26">
      <w:pPr>
        <w:spacing w:after="0"/>
      </w:pPr>
    </w:p>
    <w:p w14:paraId="1780D960" w14:textId="05F7E9C3" w:rsidR="4F9A9B47" w:rsidRDefault="4F9A9B47" w:rsidP="0402C7C1">
      <w:pPr>
        <w:spacing w:after="0"/>
        <w:rPr>
          <w:b/>
          <w:bCs/>
        </w:rPr>
      </w:pPr>
      <w:r w:rsidRPr="0402C7C1">
        <w:rPr>
          <w:b/>
          <w:bCs/>
        </w:rPr>
        <w:t>Issues</w:t>
      </w:r>
    </w:p>
    <w:p w14:paraId="04D456A2" w14:textId="3D1CC0C5" w:rsidR="061E7934" w:rsidRDefault="061E7934" w:rsidP="0402C7C1">
      <w:pPr>
        <w:spacing w:after="0"/>
      </w:pPr>
      <w:r w:rsidRPr="0402C7C1">
        <w:t xml:space="preserve">The issues decided by Dietrich </w:t>
      </w:r>
      <w:r w:rsidR="4B6402FD" w:rsidRPr="0402C7C1">
        <w:t xml:space="preserve">J </w:t>
      </w:r>
      <w:r w:rsidRPr="0402C7C1">
        <w:t>were:</w:t>
      </w:r>
    </w:p>
    <w:p w14:paraId="7AB72728" w14:textId="3DF1F9E9" w:rsidR="061E7934" w:rsidRDefault="061E7934" w:rsidP="0402C7C1">
      <w:pPr>
        <w:pStyle w:val="ListParagraph"/>
        <w:numPr>
          <w:ilvl w:val="0"/>
          <w:numId w:val="2"/>
        </w:numPr>
        <w:spacing w:after="0"/>
      </w:pPr>
      <w:r w:rsidRPr="0402C7C1">
        <w:t>Whether the tribunal properly declined jurisdiction in respect of the Dual National applicants;</w:t>
      </w:r>
    </w:p>
    <w:p w14:paraId="75C0861E" w14:textId="73CB23E8" w:rsidR="061E7934" w:rsidRDefault="061E7934" w:rsidP="0402C7C1">
      <w:pPr>
        <w:pStyle w:val="ListParagraph"/>
        <w:numPr>
          <w:ilvl w:val="0"/>
          <w:numId w:val="2"/>
        </w:numPr>
        <w:spacing w:after="0"/>
      </w:pPr>
      <w:r w:rsidRPr="0402C7C1">
        <w:t xml:space="preserve">Whether the tribunal properly declined jurisdiction on the basis that the remaining applicants’ claims were for indirect loss and therefore not covered by </w:t>
      </w:r>
      <w:r w:rsidR="1A99A66F" w:rsidRPr="0402C7C1">
        <w:t>a</w:t>
      </w:r>
      <w:r w:rsidRPr="0402C7C1">
        <w:t>rticle 1116 of the NAFTA; and</w:t>
      </w:r>
    </w:p>
    <w:p w14:paraId="33175482" w14:textId="38700931" w:rsidR="061E7934" w:rsidRDefault="4FF3CD26" w:rsidP="3712CF26">
      <w:pPr>
        <w:pStyle w:val="ListParagraph"/>
        <w:numPr>
          <w:ilvl w:val="0"/>
          <w:numId w:val="2"/>
        </w:numPr>
        <w:spacing w:after="0"/>
      </w:pPr>
      <w:r w:rsidRPr="3712CF26">
        <w:lastRenderedPageBreak/>
        <w:t>Whether one of the tribunal members, Mr. Andrés Jana Linetzky</w:t>
      </w:r>
      <w:r w:rsidR="5D3DD22B" w:rsidRPr="3712CF26">
        <w:t>,</w:t>
      </w:r>
      <w:r w:rsidRPr="3712CF26">
        <w:t xml:space="preserve"> suffered from a reasonable apprehension of bias.</w:t>
      </w:r>
    </w:p>
    <w:p w14:paraId="20D228A8" w14:textId="7AC65B4C" w:rsidR="0402C7C1" w:rsidRDefault="0402C7C1" w:rsidP="0402C7C1">
      <w:pPr>
        <w:spacing w:after="0"/>
      </w:pPr>
    </w:p>
    <w:p w14:paraId="25DF46F6" w14:textId="4071A1BF" w:rsidR="14FAAD07" w:rsidRDefault="7A9C0F3D" w:rsidP="0402C7C1">
      <w:pPr>
        <w:spacing w:after="0"/>
      </w:pPr>
      <w:r w:rsidRPr="3712CF26">
        <w:rPr>
          <w:b/>
          <w:bCs/>
        </w:rPr>
        <w:t>The Standard of Review</w:t>
      </w:r>
    </w:p>
    <w:p w14:paraId="15218A2F" w14:textId="7B60673B" w:rsidR="0A9F5E6B" w:rsidRDefault="0A9F5E6B" w:rsidP="3712CF26">
      <w:pPr>
        <w:spacing w:after="0"/>
      </w:pPr>
      <w:r w:rsidRPr="3712CF26">
        <w:t xml:space="preserve">As the arbitration was held in Toronto, the </w:t>
      </w:r>
      <w:hyperlink r:id="rId8" w:history="1">
        <w:r w:rsidRPr="00A77341">
          <w:rPr>
            <w:rStyle w:val="Hyperlink"/>
            <w:i/>
            <w:iCs/>
          </w:rPr>
          <w:t>International Commercial Arbitration Act</w:t>
        </w:r>
        <w:r w:rsidR="4C739CAB" w:rsidRPr="00A77341">
          <w:rPr>
            <w:rStyle w:val="Hyperlink"/>
            <w:i/>
            <w:iCs/>
          </w:rPr>
          <w:t>, 2017</w:t>
        </w:r>
      </w:hyperlink>
      <w:r w:rsidRPr="3712CF26">
        <w:t xml:space="preserve"> (the “</w:t>
      </w:r>
      <w:r w:rsidRPr="3712CF26">
        <w:rPr>
          <w:b/>
          <w:bCs/>
        </w:rPr>
        <w:t>ICAA</w:t>
      </w:r>
      <w:r w:rsidRPr="3712CF26">
        <w:t>”) gave the Court supervisory jurisdiction over the arbitration. The ICAA provides that a court can determine jurisdictional issues decided by a tribunal and set aside awards.</w:t>
      </w:r>
    </w:p>
    <w:p w14:paraId="0385D018" w14:textId="6954B50D" w:rsidR="3712CF26" w:rsidRDefault="3712CF26" w:rsidP="3712CF26">
      <w:pPr>
        <w:spacing w:after="0"/>
        <w:rPr>
          <w:b/>
          <w:bCs/>
        </w:rPr>
      </w:pPr>
    </w:p>
    <w:p w14:paraId="4732A899" w14:textId="4F2C91E3" w:rsidR="7D5AF2A6" w:rsidRDefault="7D5AF2A6" w:rsidP="0402C7C1">
      <w:pPr>
        <w:spacing w:after="0"/>
      </w:pPr>
      <w:r>
        <w:t xml:space="preserve">The Court of Appeal in </w:t>
      </w:r>
      <w:hyperlink r:id="rId9" w:history="1">
        <w:r w:rsidRPr="00A77341">
          <w:rPr>
            <w:rStyle w:val="Hyperlink"/>
            <w:i/>
            <w:iCs/>
          </w:rPr>
          <w:t>Mexico v Cargill</w:t>
        </w:r>
      </w:hyperlink>
      <w:r>
        <w:t xml:space="preserve"> </w:t>
      </w:r>
      <w:r w:rsidR="5DF17551">
        <w:t>(“</w:t>
      </w:r>
      <w:r w:rsidR="5DF17551" w:rsidRPr="01A80B76">
        <w:rPr>
          <w:b/>
          <w:bCs/>
          <w:i/>
          <w:iCs/>
        </w:rPr>
        <w:t>Cargill</w:t>
      </w:r>
      <w:r w:rsidR="5DF17551">
        <w:t xml:space="preserve">”) </w:t>
      </w:r>
      <w:r>
        <w:t>held that tribunal</w:t>
      </w:r>
      <w:r w:rsidR="62B33F38">
        <w:t>s’ determinations on issues of jurisdiction attract the standard of correctness when reviewed by the courts.</w:t>
      </w:r>
      <w:r w:rsidR="00B539C1">
        <w:t xml:space="preserve"> When applying the correctness standard, </w:t>
      </w:r>
      <w:r w:rsidR="028B8C9F">
        <w:t xml:space="preserve">courts </w:t>
      </w:r>
      <w:r w:rsidR="4AB6FD38">
        <w:t>should</w:t>
      </w:r>
      <w:r w:rsidR="00B539C1">
        <w:t xml:space="preserve"> intervene rarely on</w:t>
      </w:r>
      <w:r w:rsidR="4AB6FD38">
        <w:t xml:space="preserve"> jurisdiction questions and </w:t>
      </w:r>
      <w:r w:rsidR="00B539C1">
        <w:t xml:space="preserve">should </w:t>
      </w:r>
      <w:r w:rsidR="4AB6FD38">
        <w:t xml:space="preserve">not address the </w:t>
      </w:r>
      <w:r w:rsidR="1D991E26">
        <w:t xml:space="preserve">merits of those questions. </w:t>
      </w:r>
    </w:p>
    <w:p w14:paraId="29829BBB" w14:textId="73E920D8" w:rsidR="0402C7C1" w:rsidRDefault="0402C7C1" w:rsidP="3712CF26">
      <w:pPr>
        <w:spacing w:after="0"/>
      </w:pPr>
    </w:p>
    <w:p w14:paraId="0E682850" w14:textId="21E34B41" w:rsidR="045B04DC" w:rsidRDefault="045B04DC" w:rsidP="0402C7C1">
      <w:pPr>
        <w:spacing w:after="0"/>
        <w:rPr>
          <w:b/>
          <w:bCs/>
        </w:rPr>
      </w:pPr>
      <w:r w:rsidRPr="0402C7C1">
        <w:rPr>
          <w:b/>
          <w:bCs/>
        </w:rPr>
        <w:t>Dual Nationality</w:t>
      </w:r>
    </w:p>
    <w:p w14:paraId="4E95EAB6" w14:textId="2361A6A5" w:rsidR="7355B282" w:rsidRDefault="7355B282" w:rsidP="0402C7C1">
      <w:pPr>
        <w:spacing w:after="0"/>
      </w:pPr>
      <w:r w:rsidRPr="0402C7C1">
        <w:t xml:space="preserve">Two of the applicants were Dual Nationals, and so a live issue in this dispute was whether the rules of the arbitration allowed </w:t>
      </w:r>
      <w:r w:rsidR="355BC488" w:rsidRPr="0402C7C1">
        <w:t>them</w:t>
      </w:r>
      <w:r w:rsidRPr="0402C7C1">
        <w:t xml:space="preserve"> to proceed in their claim </w:t>
      </w:r>
      <w:r w:rsidR="201691B1" w:rsidRPr="0402C7C1">
        <w:t xml:space="preserve">against one of their states of nationality, namely, Mexico. </w:t>
      </w:r>
    </w:p>
    <w:p w14:paraId="3FA46AAE" w14:textId="3229C227" w:rsidR="0402C7C1" w:rsidRDefault="0402C7C1" w:rsidP="0402C7C1">
      <w:pPr>
        <w:spacing w:after="0"/>
      </w:pPr>
    </w:p>
    <w:p w14:paraId="62E746C7" w14:textId="187393AE" w:rsidR="411B618C" w:rsidRDefault="411B618C" w:rsidP="0402C7C1">
      <w:pPr>
        <w:spacing w:after="0"/>
      </w:pPr>
      <w:r w:rsidRPr="0402C7C1">
        <w:t>Both Canada and the U.S. submitted that a Dual National could submit a claim under NAFTA if the adverse NAFTA Party is not of the national’s “dominant and effective nationality”. The U.S. further specified tha</w:t>
      </w:r>
      <w:r w:rsidR="6E9DDEA6" w:rsidRPr="0402C7C1">
        <w:t xml:space="preserve">t permanent residency was not </w:t>
      </w:r>
      <w:r w:rsidR="18C57A8E" w:rsidRPr="0402C7C1">
        <w:t>considered nationality. In contrast, Mexico argued that Dual Nationals c</w:t>
      </w:r>
      <w:r w:rsidR="41E187BB" w:rsidRPr="0402C7C1">
        <w:t>ould not</w:t>
      </w:r>
      <w:r w:rsidR="18C57A8E" w:rsidRPr="0402C7C1">
        <w:t xml:space="preserve"> pursue claims against </w:t>
      </w:r>
      <w:r w:rsidR="4AD1EF3A" w:rsidRPr="0402C7C1">
        <w:t>their own state, only accepting the “dominant and effective nationality” test in the alternative.</w:t>
      </w:r>
    </w:p>
    <w:p w14:paraId="04CF147D" w14:textId="6695319E" w:rsidR="0402C7C1" w:rsidRDefault="0402C7C1" w:rsidP="0402C7C1">
      <w:pPr>
        <w:spacing w:after="0"/>
      </w:pPr>
    </w:p>
    <w:p w14:paraId="3F372C62" w14:textId="56360E26" w:rsidR="4AD1EF3A" w:rsidRDefault="4AD1EF3A" w:rsidP="0402C7C1">
      <w:pPr>
        <w:spacing w:after="0"/>
      </w:pPr>
      <w:r w:rsidRPr="0402C7C1">
        <w:t>The tribunal applied th</w:t>
      </w:r>
      <w:r w:rsidR="63880E32" w:rsidRPr="0402C7C1">
        <w:t>is</w:t>
      </w:r>
      <w:r w:rsidRPr="0402C7C1">
        <w:t xml:space="preserve"> test, finding that the</w:t>
      </w:r>
      <w:r w:rsidR="5A3660D7" w:rsidRPr="0402C7C1">
        <w:t xml:space="preserve"> dominant and effective nationality of the</w:t>
      </w:r>
      <w:r w:rsidRPr="0402C7C1">
        <w:t xml:space="preserve"> two Dual Nationa</w:t>
      </w:r>
      <w:r w:rsidR="6C58D264" w:rsidRPr="0402C7C1">
        <w:t xml:space="preserve">l applicants </w:t>
      </w:r>
      <w:r w:rsidR="220154FE" w:rsidRPr="0402C7C1">
        <w:t>was Mexico. Therefore, it determined that it did not have jurisdiction over their claims.</w:t>
      </w:r>
    </w:p>
    <w:p w14:paraId="0087EFAB" w14:textId="20371195" w:rsidR="0402C7C1" w:rsidRDefault="0402C7C1" w:rsidP="0402C7C1">
      <w:pPr>
        <w:spacing w:after="0"/>
      </w:pPr>
    </w:p>
    <w:p w14:paraId="74132A0B" w14:textId="589ECEE8" w:rsidR="775BE76A" w:rsidRDefault="795F577A" w:rsidP="3712CF26">
      <w:pPr>
        <w:spacing w:after="0"/>
      </w:pPr>
      <w:r w:rsidRPr="3712CF26">
        <w:t xml:space="preserve">Justice Dietrich noted that there was no consensus in previous tribunals on this issue and that the NAFTA Parties themselves </w:t>
      </w:r>
      <w:r w:rsidR="6BED4113" w:rsidRPr="3712CF26">
        <w:t xml:space="preserve">did not share a “clear, well-understood, agreed common position” as required by </w:t>
      </w:r>
      <w:r w:rsidR="6BED4113" w:rsidRPr="3712CF26">
        <w:rPr>
          <w:i/>
          <w:iCs/>
        </w:rPr>
        <w:t>Cargill</w:t>
      </w:r>
      <w:r w:rsidR="6BED4113" w:rsidRPr="3712CF26">
        <w:t xml:space="preserve">. </w:t>
      </w:r>
      <w:r w:rsidR="0359DC27" w:rsidRPr="3712CF26">
        <w:t xml:space="preserve">Instead, she found that </w:t>
      </w:r>
      <w:r w:rsidR="1CD75723" w:rsidRPr="3712CF26">
        <w:t>an ordinary interpretation of the NAFTA</w:t>
      </w:r>
      <w:r w:rsidR="128538AD" w:rsidRPr="3712CF26">
        <w:t xml:space="preserve"> </w:t>
      </w:r>
      <w:r w:rsidR="506DAC20" w:rsidRPr="3712CF26">
        <w:t>did not prohibit the Dual Nationals from pursuing their cl</w:t>
      </w:r>
      <w:r w:rsidR="6E7D89E8" w:rsidRPr="3712CF26">
        <w:t xml:space="preserve">aim against Mexico. Therefore, the </w:t>
      </w:r>
      <w:bookmarkStart w:id="0" w:name="_Int_Ao4NUp1H"/>
      <w:r w:rsidR="6E7D89E8" w:rsidRPr="3712CF26">
        <w:t>tribu</w:t>
      </w:r>
      <w:r w:rsidR="0594FFD1" w:rsidRPr="3712CF26">
        <w:t>nal incorrectly</w:t>
      </w:r>
      <w:bookmarkEnd w:id="0"/>
      <w:r w:rsidR="0594FFD1" w:rsidRPr="3712CF26">
        <w:t xml:space="preserve"> assessed its jurisdiction relating to the claims b</w:t>
      </w:r>
      <w:r w:rsidR="5687557A" w:rsidRPr="3712CF26">
        <w:t xml:space="preserve">y the Dual National applicants. </w:t>
      </w:r>
    </w:p>
    <w:p w14:paraId="0C97AF9C" w14:textId="1BCB4454" w:rsidR="0402C7C1" w:rsidRDefault="0402C7C1" w:rsidP="0402C7C1">
      <w:pPr>
        <w:spacing w:after="0"/>
      </w:pPr>
    </w:p>
    <w:p w14:paraId="52375379" w14:textId="79ACC53C" w:rsidR="045B04DC" w:rsidRDefault="045B04DC" w:rsidP="0402C7C1">
      <w:pPr>
        <w:spacing w:after="0"/>
        <w:rPr>
          <w:b/>
          <w:bCs/>
        </w:rPr>
      </w:pPr>
      <w:r w:rsidRPr="0402C7C1">
        <w:rPr>
          <w:b/>
          <w:bCs/>
        </w:rPr>
        <w:t>Indirect Loss</w:t>
      </w:r>
    </w:p>
    <w:p w14:paraId="195EE6AD" w14:textId="24107A9D" w:rsidR="62B32764" w:rsidRDefault="063726C4" w:rsidP="3712CF26">
      <w:pPr>
        <w:spacing w:after="0"/>
      </w:pPr>
      <w:r w:rsidRPr="3712CF26">
        <w:t xml:space="preserve">The NAFTA Parties </w:t>
      </w:r>
      <w:r w:rsidR="5F27A9D0" w:rsidRPr="3712CF26">
        <w:t xml:space="preserve">generally agreed that </w:t>
      </w:r>
      <w:r w:rsidR="7A590E4F" w:rsidRPr="3712CF26">
        <w:t>A</w:t>
      </w:r>
      <w:r w:rsidRPr="3712CF26">
        <w:t>rticle 1116 of the NAFTA d</w:t>
      </w:r>
      <w:r w:rsidR="2A87DBA8" w:rsidRPr="3712CF26">
        <w:t>id</w:t>
      </w:r>
      <w:r w:rsidRPr="3712CF26">
        <w:t xml:space="preserve"> not allow claims for indirect loss</w:t>
      </w:r>
      <w:r w:rsidR="5C47E6F9" w:rsidRPr="3712CF26">
        <w:t xml:space="preserve">. </w:t>
      </w:r>
      <w:r w:rsidR="6EB5E68A" w:rsidRPr="3712CF26">
        <w:t xml:space="preserve">As a result, Oro Negro would need to bring the claim directly, and not the </w:t>
      </w:r>
      <w:r w:rsidR="6EB5E68A" w:rsidRPr="3712CF26">
        <w:lastRenderedPageBreak/>
        <w:t xml:space="preserve">investors on its behalf. </w:t>
      </w:r>
      <w:r w:rsidR="1057E62F" w:rsidRPr="3712CF26">
        <w:t xml:space="preserve">However, they differed in their interpretations </w:t>
      </w:r>
      <w:r w:rsidR="64400657" w:rsidRPr="3712CF26">
        <w:t>of what constitute</w:t>
      </w:r>
      <w:r w:rsidR="343E8932" w:rsidRPr="3712CF26">
        <w:t>d</w:t>
      </w:r>
      <w:r w:rsidR="64400657" w:rsidRPr="3712CF26">
        <w:t xml:space="preserve"> an indirect loss</w:t>
      </w:r>
      <w:r w:rsidR="0C81FA22" w:rsidRPr="3712CF26">
        <w:t xml:space="preserve"> relating to shareholders and Oro Negro</w:t>
      </w:r>
      <w:r w:rsidR="64400657" w:rsidRPr="3712CF26">
        <w:t xml:space="preserve">. </w:t>
      </w:r>
    </w:p>
    <w:p w14:paraId="5CE3CC03" w14:textId="38EDF9CB" w:rsidR="0402C7C1" w:rsidRDefault="0402C7C1" w:rsidP="0402C7C1">
      <w:pPr>
        <w:spacing w:after="0"/>
      </w:pPr>
    </w:p>
    <w:p w14:paraId="1BD7D10B" w14:textId="199B0650" w:rsidR="23AEC099" w:rsidRDefault="23AEC099" w:rsidP="0402C7C1">
      <w:pPr>
        <w:spacing w:after="0"/>
      </w:pPr>
      <w:r w:rsidRPr="0402C7C1">
        <w:t>The applicants disagreed, arguing th</w:t>
      </w:r>
      <w:r w:rsidR="497F2E1B" w:rsidRPr="0402C7C1">
        <w:t>at the NAFTA support</w:t>
      </w:r>
      <w:r w:rsidR="69D1313B" w:rsidRPr="0402C7C1">
        <w:t>ed</w:t>
      </w:r>
      <w:r w:rsidR="497F2E1B" w:rsidRPr="0402C7C1">
        <w:t xml:space="preserve"> claims for both direct and indirect investments. They rel</w:t>
      </w:r>
      <w:r w:rsidR="01F11CBB" w:rsidRPr="0402C7C1">
        <w:t xml:space="preserve">ied </w:t>
      </w:r>
      <w:r w:rsidR="497F2E1B" w:rsidRPr="0402C7C1">
        <w:t xml:space="preserve">on </w:t>
      </w:r>
      <w:r w:rsidR="497F2E1B" w:rsidRPr="0402C7C1">
        <w:rPr>
          <w:i/>
          <w:iCs/>
        </w:rPr>
        <w:t>Cargill</w:t>
      </w:r>
      <w:r w:rsidR="497F2E1B" w:rsidRPr="0402C7C1">
        <w:t xml:space="preserve"> which required a </w:t>
      </w:r>
      <w:r w:rsidR="556DFBA2" w:rsidRPr="0402C7C1">
        <w:t xml:space="preserve">reading of the definitions to ensure that the investments </w:t>
      </w:r>
      <w:r w:rsidR="32C7954F" w:rsidRPr="0402C7C1">
        <w:t xml:space="preserve">claimed </w:t>
      </w:r>
      <w:r w:rsidR="3EF82949" w:rsidRPr="0402C7C1">
        <w:t>were</w:t>
      </w:r>
      <w:r w:rsidR="32C7954F" w:rsidRPr="0402C7C1">
        <w:t xml:space="preserve"> the type contemplated by </w:t>
      </w:r>
      <w:proofErr w:type="gramStart"/>
      <w:r w:rsidR="32C7954F" w:rsidRPr="0402C7C1">
        <w:t>the NAFTA</w:t>
      </w:r>
      <w:proofErr w:type="gramEnd"/>
      <w:r w:rsidR="32C7954F" w:rsidRPr="0402C7C1">
        <w:t>.</w:t>
      </w:r>
    </w:p>
    <w:p w14:paraId="705587E4" w14:textId="6ADE927D" w:rsidR="0402C7C1" w:rsidRDefault="0402C7C1" w:rsidP="0402C7C1">
      <w:pPr>
        <w:spacing w:after="0"/>
      </w:pPr>
    </w:p>
    <w:p w14:paraId="39312D30" w14:textId="75F7DAF8" w:rsidR="52846D6F" w:rsidRDefault="75F4608A" w:rsidP="3712CF26">
      <w:pPr>
        <w:spacing w:after="0"/>
      </w:pPr>
      <w:r>
        <w:t>Justice Dietrich agreed with the applicant</w:t>
      </w:r>
      <w:r w:rsidR="6D515B76">
        <w:t xml:space="preserve">s. In applying the rules of interpretation from the </w:t>
      </w:r>
      <w:r w:rsidR="6D515B76" w:rsidRPr="01A80B76">
        <w:rPr>
          <w:i/>
          <w:iCs/>
        </w:rPr>
        <w:t>Vienna Convention</w:t>
      </w:r>
      <w:r w:rsidR="3131D286" w:rsidRPr="01A80B76">
        <w:rPr>
          <w:i/>
          <w:iCs/>
        </w:rPr>
        <w:t xml:space="preserve"> of the Law of Treaties</w:t>
      </w:r>
      <w:r w:rsidR="129E8B82">
        <w:t xml:space="preserve">, she found that </w:t>
      </w:r>
      <w:r w:rsidR="78FDF524">
        <w:t>A</w:t>
      </w:r>
      <w:r w:rsidR="129E8B82">
        <w:t>rticle 1116 d</w:t>
      </w:r>
      <w:r w:rsidR="215F9979">
        <w:t>id</w:t>
      </w:r>
      <w:r w:rsidR="129E8B82">
        <w:t xml:space="preserve"> not prohibit indirect losses. Accordingly, </w:t>
      </w:r>
      <w:r w:rsidR="00B539C1">
        <w:t>she found that</w:t>
      </w:r>
      <w:r w:rsidR="129E8B82">
        <w:t xml:space="preserve"> tribunal also incorrectly decided this jurisdiction issue. </w:t>
      </w:r>
    </w:p>
    <w:p w14:paraId="07A16F5B" w14:textId="2FABC70A" w:rsidR="0402C7C1" w:rsidRDefault="0402C7C1" w:rsidP="0402C7C1">
      <w:pPr>
        <w:spacing w:after="0"/>
      </w:pPr>
    </w:p>
    <w:p w14:paraId="19E97F26" w14:textId="2A8A1B56" w:rsidR="045B04DC" w:rsidRDefault="045B04DC" w:rsidP="0402C7C1">
      <w:pPr>
        <w:spacing w:after="0"/>
      </w:pPr>
      <w:r w:rsidRPr="0402C7C1">
        <w:rPr>
          <w:b/>
          <w:bCs/>
        </w:rPr>
        <w:t>Reasonable Apprehension of Bias</w:t>
      </w:r>
    </w:p>
    <w:p w14:paraId="5FFCCDCB" w14:textId="47F45D30" w:rsidR="5C6324B2" w:rsidRDefault="0A549471" w:rsidP="0402C7C1">
      <w:pPr>
        <w:spacing w:after="0"/>
      </w:pPr>
      <w:r w:rsidRPr="3712CF26">
        <w:t xml:space="preserve">The applicants alleged </w:t>
      </w:r>
      <w:r w:rsidR="3A810E69" w:rsidRPr="3712CF26">
        <w:t xml:space="preserve">that after his appointment </w:t>
      </w:r>
      <w:bookmarkStart w:id="1" w:name="_Int_OI7GEh0w"/>
      <w:proofErr w:type="gramStart"/>
      <w:r w:rsidR="3A810E69" w:rsidRPr="3712CF26">
        <w:t>to</w:t>
      </w:r>
      <w:bookmarkEnd w:id="1"/>
      <w:proofErr w:type="gramEnd"/>
      <w:r w:rsidR="3A810E69" w:rsidRPr="3712CF26">
        <w:t xml:space="preserve"> the tribunal, Mr. Jana engaged in activities that led to a reasonable apprehension of bias.</w:t>
      </w:r>
      <w:r w:rsidR="6F1A275A" w:rsidRPr="3712CF26">
        <w:t xml:space="preserve"> They further alleged that Mr. Jana </w:t>
      </w:r>
      <w:r w:rsidR="41E585C0" w:rsidRPr="3712CF26">
        <w:t xml:space="preserve">did not comply with his duty to disclose those actions, </w:t>
      </w:r>
      <w:r w:rsidR="6F1A275A" w:rsidRPr="3712CF26">
        <w:t>essentially depriving the applicants of the opportunity to inquire</w:t>
      </w:r>
      <w:r w:rsidR="1EE426E3" w:rsidRPr="3712CF26">
        <w:t xml:space="preserve"> further</w:t>
      </w:r>
      <w:r w:rsidR="6F1A275A" w:rsidRPr="3712CF26">
        <w:t xml:space="preserve"> </w:t>
      </w:r>
      <w:r w:rsidR="786CE4FB" w:rsidRPr="3712CF26">
        <w:t xml:space="preserve">and potentially request his recusal. </w:t>
      </w:r>
    </w:p>
    <w:p w14:paraId="7C391207" w14:textId="1DDBE93D" w:rsidR="0402C7C1" w:rsidRDefault="0402C7C1" w:rsidP="0402C7C1">
      <w:pPr>
        <w:spacing w:after="0"/>
      </w:pPr>
    </w:p>
    <w:p w14:paraId="5454A4F6" w14:textId="3B00C660" w:rsidR="2497C94F" w:rsidRDefault="167E5297" w:rsidP="0402C7C1">
      <w:pPr>
        <w:spacing w:after="0"/>
      </w:pPr>
      <w:r w:rsidRPr="002A141C">
        <w:t xml:space="preserve">After his appointment to the tribunal, </w:t>
      </w:r>
      <w:r w:rsidR="20E3F696" w:rsidRPr="002A141C">
        <w:t>Mr. Jana became counsel for Honduras in a separate arbitration</w:t>
      </w:r>
      <w:r w:rsidR="6CA635EC" w:rsidRPr="002A141C">
        <w:t xml:space="preserve"> (the “</w:t>
      </w:r>
      <w:r w:rsidR="6CA635EC" w:rsidRPr="002A141C">
        <w:rPr>
          <w:b/>
          <w:bCs/>
        </w:rPr>
        <w:t>Arguello Arbitration</w:t>
      </w:r>
      <w:r w:rsidR="6CA635EC" w:rsidRPr="002A141C">
        <w:t>”)</w:t>
      </w:r>
      <w:r w:rsidR="20E3F696" w:rsidRPr="002A141C">
        <w:t xml:space="preserve">, where he defended the state against a very similar argument that the applicants </w:t>
      </w:r>
      <w:r w:rsidR="78C1A9C5" w:rsidRPr="002A141C">
        <w:t xml:space="preserve">in this arbitration had put forward. </w:t>
      </w:r>
      <w:r w:rsidR="39CD7DC8" w:rsidRPr="002A141C">
        <w:t xml:space="preserve">Mr. Jana also opened his own law practice where </w:t>
      </w:r>
      <w:r w:rsidR="002A141C">
        <w:t>he</w:t>
      </w:r>
      <w:r w:rsidR="39CD7DC8" w:rsidRPr="002A141C">
        <w:t xml:space="preserve"> only represented states in arbitrations.</w:t>
      </w:r>
      <w:r w:rsidR="39CD7DC8">
        <w:t xml:space="preserve"> </w:t>
      </w:r>
    </w:p>
    <w:p w14:paraId="2F89948D" w14:textId="6A7A3D92" w:rsidR="0402C7C1" w:rsidRDefault="0402C7C1" w:rsidP="0402C7C1">
      <w:pPr>
        <w:spacing w:after="0"/>
      </w:pPr>
    </w:p>
    <w:p w14:paraId="569B2A7E" w14:textId="6A44DEC2" w:rsidR="06638BD0" w:rsidRDefault="1C5C97C8" w:rsidP="253BEEC7">
      <w:pPr>
        <w:spacing w:after="0"/>
      </w:pPr>
      <w:r>
        <w:t xml:space="preserve">Justice Dietrich applied the objective test for reasonable apprehension for bias from </w:t>
      </w:r>
      <w:r w:rsidRPr="01A80B76">
        <w:rPr>
          <w:i/>
          <w:iCs/>
        </w:rPr>
        <w:t>Aroma Franchise</w:t>
      </w:r>
      <w:r w:rsidR="07D22239" w:rsidRPr="01A80B76">
        <w:rPr>
          <w:i/>
          <w:iCs/>
        </w:rPr>
        <w:t xml:space="preserve"> Company Inc</w:t>
      </w:r>
      <w:r w:rsidR="002A141C">
        <w:rPr>
          <w:i/>
          <w:iCs/>
        </w:rPr>
        <w:t>.</w:t>
      </w:r>
      <w:r w:rsidR="07D22239" w:rsidRPr="01A80B76">
        <w:rPr>
          <w:i/>
          <w:iCs/>
        </w:rPr>
        <w:t xml:space="preserve"> v</w:t>
      </w:r>
      <w:r w:rsidR="002A141C">
        <w:rPr>
          <w:i/>
          <w:iCs/>
        </w:rPr>
        <w:t>.</w:t>
      </w:r>
      <w:r w:rsidR="07D22239" w:rsidRPr="01A80B76">
        <w:rPr>
          <w:i/>
          <w:iCs/>
        </w:rPr>
        <w:t xml:space="preserve"> Aroma Espresso Bar Canada Inc</w:t>
      </w:r>
      <w:r w:rsidR="07D22239">
        <w:t xml:space="preserve"> (“</w:t>
      </w:r>
      <w:r w:rsidR="07D22239" w:rsidRPr="01A80B76">
        <w:rPr>
          <w:b/>
          <w:bCs/>
          <w:i/>
          <w:iCs/>
        </w:rPr>
        <w:t>Aroma</w:t>
      </w:r>
      <w:r w:rsidR="07D22239">
        <w:t>”)</w:t>
      </w:r>
      <w:r w:rsidRPr="01A80B76">
        <w:rPr>
          <w:i/>
          <w:iCs/>
        </w:rPr>
        <w:t>,</w:t>
      </w:r>
      <w:r>
        <w:t xml:space="preserve"> which</w:t>
      </w:r>
      <w:r w:rsidR="0BD2DC3D">
        <w:t>, presuming that the arbitrator is impartial, considers the circumstances from the perspective of a “fair-minded and informed observer”.</w:t>
      </w:r>
      <w:r w:rsidR="63D84893">
        <w:t xml:space="preserve"> </w:t>
      </w:r>
      <w:r w:rsidR="1398F40F">
        <w:t>S</w:t>
      </w:r>
      <w:r w:rsidR="63D84893">
        <w:t>he concluded that Mr. Jana had a duty to disclose his involvement in the Arguello Arbitrati</w:t>
      </w:r>
      <w:r w:rsidR="33F55BE9">
        <w:t>on</w:t>
      </w:r>
      <w:r w:rsidR="33F55BE9" w:rsidRPr="01A80B76">
        <w:rPr>
          <w:i/>
          <w:iCs/>
        </w:rPr>
        <w:t>.</w:t>
      </w:r>
      <w:r w:rsidR="33F55BE9">
        <w:t xml:space="preserve"> </w:t>
      </w:r>
      <w:r w:rsidR="65B38C1E">
        <w:t>Ultimately</w:t>
      </w:r>
      <w:r w:rsidR="1E61A821">
        <w:t>, h</w:t>
      </w:r>
      <w:r w:rsidR="33F55BE9">
        <w:t xml:space="preserve">is involvement in </w:t>
      </w:r>
      <w:r w:rsidR="00B539C1">
        <w:t xml:space="preserve">the Arguello Arbitration </w:t>
      </w:r>
      <w:r w:rsidR="33F55BE9">
        <w:t>alone was enough to find a reasonable apprehension of b</w:t>
      </w:r>
      <w:r w:rsidR="6F867EAC">
        <w:t xml:space="preserve">ias. </w:t>
      </w:r>
    </w:p>
    <w:p w14:paraId="5BBE8FC7" w14:textId="2D206F9B" w:rsidR="0402C7C1" w:rsidRDefault="0402C7C1" w:rsidP="0402C7C1">
      <w:pPr>
        <w:spacing w:after="0"/>
      </w:pPr>
    </w:p>
    <w:p w14:paraId="62881F23" w14:textId="186A14D0" w:rsidR="045B04DC" w:rsidRDefault="045B04DC" w:rsidP="0402C7C1">
      <w:pPr>
        <w:spacing w:after="0"/>
        <w:rPr>
          <w:b/>
          <w:bCs/>
        </w:rPr>
      </w:pPr>
      <w:r w:rsidRPr="0402C7C1">
        <w:rPr>
          <w:b/>
          <w:bCs/>
        </w:rPr>
        <w:t>Takeaways</w:t>
      </w:r>
    </w:p>
    <w:p w14:paraId="4CFEF0B8" w14:textId="6F22A87E" w:rsidR="1F271DEC" w:rsidRDefault="1F271DEC" w:rsidP="01A80B76">
      <w:pPr>
        <w:spacing w:after="0"/>
      </w:pPr>
      <w:r>
        <w:t>Finding in favor of the applicant</w:t>
      </w:r>
      <w:r w:rsidR="36BA1963">
        <w:t>s</w:t>
      </w:r>
      <w:r>
        <w:t xml:space="preserve"> on the issues of jurisdiction and reasonable apprehension </w:t>
      </w:r>
      <w:r w:rsidR="00B539C1">
        <w:t xml:space="preserve">of </w:t>
      </w:r>
      <w:r>
        <w:t xml:space="preserve">bias, Dietrich </w:t>
      </w:r>
      <w:r w:rsidR="3F29E8B7">
        <w:t>J</w:t>
      </w:r>
      <w:r w:rsidR="0061679F">
        <w:t>.</w:t>
      </w:r>
      <w:r w:rsidR="5E71475D">
        <w:t xml:space="preserve"> </w:t>
      </w:r>
      <w:r>
        <w:t xml:space="preserve">set aside the arbitral award. </w:t>
      </w:r>
    </w:p>
    <w:p w14:paraId="090EEB59" w14:textId="5A1D50FA" w:rsidR="01A80B76" w:rsidRDefault="01A80B76" w:rsidP="01A80B76">
      <w:pPr>
        <w:spacing w:after="0"/>
      </w:pPr>
    </w:p>
    <w:p w14:paraId="7A39FE90" w14:textId="3DF2EFDC" w:rsidR="01372139" w:rsidRDefault="01372139" w:rsidP="01A80B76">
      <w:pPr>
        <w:spacing w:after="0"/>
      </w:pPr>
      <w:r>
        <w:t xml:space="preserve">The decision underscores the importance of arbitrator independence and ongoing disclosure obligations throughout </w:t>
      </w:r>
      <w:proofErr w:type="gramStart"/>
      <w:r>
        <w:t>an arbitration</w:t>
      </w:r>
      <w:proofErr w:type="gramEnd"/>
      <w:r>
        <w:t xml:space="preserve">. </w:t>
      </w:r>
      <w:r w:rsidR="54759206">
        <w:t xml:space="preserve">Parties, counsel, and arbitrators should remain vigilant to potential conflicts and overlapping mandates that arise after an arbitrator’s appointment. In complex construction arbitrations, where arbitrators often maintain active practices as counsel, </w:t>
      </w:r>
      <w:r w:rsidR="54759206">
        <w:lastRenderedPageBreak/>
        <w:t xml:space="preserve">undisclosed engagements involving similar </w:t>
      </w:r>
      <w:r w:rsidR="7C94C327">
        <w:t>issues</w:t>
      </w:r>
      <w:r w:rsidR="54759206">
        <w:t xml:space="preserve"> may place an award </w:t>
      </w:r>
      <w:r w:rsidR="44C4094C">
        <w:t xml:space="preserve">at risk, even absent evidence of actual bias. </w:t>
      </w:r>
    </w:p>
    <w:p w14:paraId="1D052B1F" w14:textId="04591BCF" w:rsidR="01A80B76" w:rsidRDefault="01A80B76" w:rsidP="01A80B76">
      <w:pPr>
        <w:spacing w:after="0"/>
      </w:pPr>
    </w:p>
    <w:p w14:paraId="5C110851" w14:textId="5861B283" w:rsidR="0402C7C1" w:rsidRDefault="0402C7C1" w:rsidP="3712CF26">
      <w:pPr>
        <w:spacing w:after="0"/>
      </w:pPr>
    </w:p>
    <w:sectPr w:rsidR="0402C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B758" w14:textId="77777777" w:rsidR="002536F9" w:rsidRDefault="002536F9" w:rsidP="00B539C1">
      <w:pPr>
        <w:spacing w:after="0" w:line="240" w:lineRule="auto"/>
      </w:pPr>
      <w:r>
        <w:separator/>
      </w:r>
    </w:p>
  </w:endnote>
  <w:endnote w:type="continuationSeparator" w:id="0">
    <w:p w14:paraId="5AFD4E9B" w14:textId="77777777" w:rsidR="002536F9" w:rsidRDefault="002536F9" w:rsidP="00B53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7722" w14:textId="77777777" w:rsidR="002536F9" w:rsidRDefault="002536F9" w:rsidP="00B539C1">
      <w:pPr>
        <w:spacing w:after="0" w:line="240" w:lineRule="auto"/>
      </w:pPr>
      <w:r>
        <w:separator/>
      </w:r>
    </w:p>
  </w:footnote>
  <w:footnote w:type="continuationSeparator" w:id="0">
    <w:p w14:paraId="027235BF" w14:textId="77777777" w:rsidR="002536F9" w:rsidRDefault="002536F9" w:rsidP="00B539C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o4NUp1H" int2:invalidationBookmarkName="" int2:hashCode="1i2+M0d+Uv2+r8" int2:id="3N843eSB">
      <int2:state int2:value="Rejected" int2:type="gram"/>
    </int2:bookmark>
    <int2:bookmark int2:bookmarkName="_Int_OI7GEh0w" int2:invalidationBookmarkName="" int2:hashCode="Q3Sq7iR/sjfObJ" int2:id="RHtWliS0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3AA3"/>
    <w:multiLevelType w:val="hybridMultilevel"/>
    <w:tmpl w:val="AE6CF464"/>
    <w:lvl w:ilvl="0" w:tplc="5E625CEE">
      <w:start w:val="1"/>
      <w:numFmt w:val="lowerLetter"/>
      <w:lvlText w:val="%1."/>
      <w:lvlJc w:val="left"/>
      <w:pPr>
        <w:ind w:left="720" w:hanging="360"/>
      </w:pPr>
    </w:lvl>
    <w:lvl w:ilvl="1" w:tplc="ADA2A31E">
      <w:start w:val="1"/>
      <w:numFmt w:val="lowerLetter"/>
      <w:lvlText w:val="%2."/>
      <w:lvlJc w:val="left"/>
      <w:pPr>
        <w:ind w:left="1440" w:hanging="360"/>
      </w:pPr>
    </w:lvl>
    <w:lvl w:ilvl="2" w:tplc="26505906">
      <w:start w:val="1"/>
      <w:numFmt w:val="lowerRoman"/>
      <w:lvlText w:val="%3."/>
      <w:lvlJc w:val="right"/>
      <w:pPr>
        <w:ind w:left="2160" w:hanging="180"/>
      </w:pPr>
    </w:lvl>
    <w:lvl w:ilvl="3" w:tplc="B8CC2372">
      <w:start w:val="1"/>
      <w:numFmt w:val="decimal"/>
      <w:lvlText w:val="%4."/>
      <w:lvlJc w:val="left"/>
      <w:pPr>
        <w:ind w:left="2880" w:hanging="360"/>
      </w:pPr>
    </w:lvl>
    <w:lvl w:ilvl="4" w:tplc="3DEE56CE">
      <w:start w:val="1"/>
      <w:numFmt w:val="lowerLetter"/>
      <w:lvlText w:val="%5."/>
      <w:lvlJc w:val="left"/>
      <w:pPr>
        <w:ind w:left="3600" w:hanging="360"/>
      </w:pPr>
    </w:lvl>
    <w:lvl w:ilvl="5" w:tplc="B71C3ED8">
      <w:start w:val="1"/>
      <w:numFmt w:val="lowerRoman"/>
      <w:lvlText w:val="%6."/>
      <w:lvlJc w:val="right"/>
      <w:pPr>
        <w:ind w:left="4320" w:hanging="180"/>
      </w:pPr>
    </w:lvl>
    <w:lvl w:ilvl="6" w:tplc="77DA4C1C">
      <w:start w:val="1"/>
      <w:numFmt w:val="decimal"/>
      <w:lvlText w:val="%7."/>
      <w:lvlJc w:val="left"/>
      <w:pPr>
        <w:ind w:left="5040" w:hanging="360"/>
      </w:pPr>
    </w:lvl>
    <w:lvl w:ilvl="7" w:tplc="66540604">
      <w:start w:val="1"/>
      <w:numFmt w:val="lowerLetter"/>
      <w:lvlText w:val="%8."/>
      <w:lvlJc w:val="left"/>
      <w:pPr>
        <w:ind w:left="5760" w:hanging="360"/>
      </w:pPr>
    </w:lvl>
    <w:lvl w:ilvl="8" w:tplc="275099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75C6F"/>
    <w:multiLevelType w:val="hybridMultilevel"/>
    <w:tmpl w:val="A148C0A6"/>
    <w:lvl w:ilvl="0" w:tplc="352C38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CE06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DE2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81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C9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C47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E1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E5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C6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51C1F"/>
    <w:multiLevelType w:val="hybridMultilevel"/>
    <w:tmpl w:val="35928EAE"/>
    <w:lvl w:ilvl="0" w:tplc="17DE12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90CC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6B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44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24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CE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46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2B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E7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404DD"/>
    <w:multiLevelType w:val="hybridMultilevel"/>
    <w:tmpl w:val="8DA42FD8"/>
    <w:lvl w:ilvl="0" w:tplc="E38611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7543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688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2F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41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54A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8A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005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B48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1F32"/>
    <w:multiLevelType w:val="hybridMultilevel"/>
    <w:tmpl w:val="9078CB8A"/>
    <w:lvl w:ilvl="0" w:tplc="094E3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B34B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47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AE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C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C6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4E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41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ED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0ED1F"/>
    <w:multiLevelType w:val="hybridMultilevel"/>
    <w:tmpl w:val="46326F00"/>
    <w:lvl w:ilvl="0" w:tplc="CA72F3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B28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329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C6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B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CE1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67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0D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E3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C1CA6"/>
    <w:multiLevelType w:val="hybridMultilevel"/>
    <w:tmpl w:val="348AF036"/>
    <w:lvl w:ilvl="0" w:tplc="D8FE02C6">
      <w:start w:val="1"/>
      <w:numFmt w:val="lowerLetter"/>
      <w:lvlText w:val="%1."/>
      <w:lvlJc w:val="left"/>
      <w:pPr>
        <w:ind w:left="720" w:hanging="360"/>
      </w:pPr>
    </w:lvl>
    <w:lvl w:ilvl="1" w:tplc="A738A70E">
      <w:start w:val="1"/>
      <w:numFmt w:val="lowerLetter"/>
      <w:lvlText w:val="%2."/>
      <w:lvlJc w:val="left"/>
      <w:pPr>
        <w:ind w:left="1440" w:hanging="360"/>
      </w:pPr>
    </w:lvl>
    <w:lvl w:ilvl="2" w:tplc="5D481384">
      <w:start w:val="1"/>
      <w:numFmt w:val="lowerRoman"/>
      <w:lvlText w:val="%3."/>
      <w:lvlJc w:val="right"/>
      <w:pPr>
        <w:ind w:left="2160" w:hanging="180"/>
      </w:pPr>
    </w:lvl>
    <w:lvl w:ilvl="3" w:tplc="0EB212E6">
      <w:start w:val="1"/>
      <w:numFmt w:val="decimal"/>
      <w:lvlText w:val="%4."/>
      <w:lvlJc w:val="left"/>
      <w:pPr>
        <w:ind w:left="2880" w:hanging="360"/>
      </w:pPr>
    </w:lvl>
    <w:lvl w:ilvl="4" w:tplc="521EAA34">
      <w:start w:val="1"/>
      <w:numFmt w:val="lowerLetter"/>
      <w:lvlText w:val="%5."/>
      <w:lvlJc w:val="left"/>
      <w:pPr>
        <w:ind w:left="3600" w:hanging="360"/>
      </w:pPr>
    </w:lvl>
    <w:lvl w:ilvl="5" w:tplc="283E2206">
      <w:start w:val="1"/>
      <w:numFmt w:val="lowerRoman"/>
      <w:lvlText w:val="%6."/>
      <w:lvlJc w:val="right"/>
      <w:pPr>
        <w:ind w:left="4320" w:hanging="180"/>
      </w:pPr>
    </w:lvl>
    <w:lvl w:ilvl="6" w:tplc="9DF41D32">
      <w:start w:val="1"/>
      <w:numFmt w:val="decimal"/>
      <w:lvlText w:val="%7."/>
      <w:lvlJc w:val="left"/>
      <w:pPr>
        <w:ind w:left="5040" w:hanging="360"/>
      </w:pPr>
    </w:lvl>
    <w:lvl w:ilvl="7" w:tplc="5B4842A8">
      <w:start w:val="1"/>
      <w:numFmt w:val="lowerLetter"/>
      <w:lvlText w:val="%8."/>
      <w:lvlJc w:val="left"/>
      <w:pPr>
        <w:ind w:left="5760" w:hanging="360"/>
      </w:pPr>
    </w:lvl>
    <w:lvl w:ilvl="8" w:tplc="AE42C0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84908"/>
    <w:multiLevelType w:val="hybridMultilevel"/>
    <w:tmpl w:val="55A07702"/>
    <w:lvl w:ilvl="0" w:tplc="2B20F7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FC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8EF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E6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A9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23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88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07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4EE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3659C"/>
    <w:multiLevelType w:val="hybridMultilevel"/>
    <w:tmpl w:val="29761F5E"/>
    <w:lvl w:ilvl="0" w:tplc="CA385A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5FAC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EB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0B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C0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A5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A4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C4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58F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52D3C"/>
    <w:multiLevelType w:val="hybridMultilevel"/>
    <w:tmpl w:val="DC94DBA6"/>
    <w:lvl w:ilvl="0" w:tplc="25E898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970B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67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E7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27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6CF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EB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20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41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D0991"/>
    <w:multiLevelType w:val="hybridMultilevel"/>
    <w:tmpl w:val="A22274B6"/>
    <w:lvl w:ilvl="0" w:tplc="E228BD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66F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1C5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60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24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E2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21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25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D69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EFBDF"/>
    <w:multiLevelType w:val="hybridMultilevel"/>
    <w:tmpl w:val="595A4B22"/>
    <w:lvl w:ilvl="0" w:tplc="E2068B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43A0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26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EC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CB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C1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8F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02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B0F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C8433"/>
    <w:multiLevelType w:val="hybridMultilevel"/>
    <w:tmpl w:val="58CAB166"/>
    <w:lvl w:ilvl="0" w:tplc="03D2F3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BA3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60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A0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4B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C8D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4A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CA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6C5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716880">
    <w:abstractNumId w:val="2"/>
  </w:num>
  <w:num w:numId="2" w16cid:durableId="1900482362">
    <w:abstractNumId w:val="0"/>
  </w:num>
  <w:num w:numId="3" w16cid:durableId="1994134998">
    <w:abstractNumId w:val="9"/>
  </w:num>
  <w:num w:numId="4" w16cid:durableId="1192765373">
    <w:abstractNumId w:val="8"/>
  </w:num>
  <w:num w:numId="5" w16cid:durableId="318197121">
    <w:abstractNumId w:val="5"/>
  </w:num>
  <w:num w:numId="6" w16cid:durableId="1912427692">
    <w:abstractNumId w:val="10"/>
  </w:num>
  <w:num w:numId="7" w16cid:durableId="824197998">
    <w:abstractNumId w:val="6"/>
  </w:num>
  <w:num w:numId="8" w16cid:durableId="97793800">
    <w:abstractNumId w:val="7"/>
  </w:num>
  <w:num w:numId="9" w16cid:durableId="1096096230">
    <w:abstractNumId w:val="1"/>
  </w:num>
  <w:num w:numId="10" w16cid:durableId="2027561908">
    <w:abstractNumId w:val="11"/>
  </w:num>
  <w:num w:numId="11" w16cid:durableId="1995865081">
    <w:abstractNumId w:val="12"/>
  </w:num>
  <w:num w:numId="12" w16cid:durableId="2137946269">
    <w:abstractNumId w:val="4"/>
  </w:num>
  <w:num w:numId="13" w16cid:durableId="487981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CE25DE"/>
    <w:rsid w:val="000B9221"/>
    <w:rsid w:val="001749FE"/>
    <w:rsid w:val="001B1AFF"/>
    <w:rsid w:val="002536F9"/>
    <w:rsid w:val="0026376E"/>
    <w:rsid w:val="002A141C"/>
    <w:rsid w:val="004EA988"/>
    <w:rsid w:val="0061679F"/>
    <w:rsid w:val="006E4A86"/>
    <w:rsid w:val="008339B6"/>
    <w:rsid w:val="0088BB56"/>
    <w:rsid w:val="009B6023"/>
    <w:rsid w:val="00A77341"/>
    <w:rsid w:val="00A94982"/>
    <w:rsid w:val="00B539C1"/>
    <w:rsid w:val="00CA4DEF"/>
    <w:rsid w:val="00D325EB"/>
    <w:rsid w:val="0100DB24"/>
    <w:rsid w:val="011CFEF0"/>
    <w:rsid w:val="01372139"/>
    <w:rsid w:val="014EE93C"/>
    <w:rsid w:val="01A80B76"/>
    <w:rsid w:val="01B68E80"/>
    <w:rsid w:val="01CD0847"/>
    <w:rsid w:val="01F11CBB"/>
    <w:rsid w:val="0201A141"/>
    <w:rsid w:val="024A6A98"/>
    <w:rsid w:val="026729F2"/>
    <w:rsid w:val="028AC33F"/>
    <w:rsid w:val="028B8C9F"/>
    <w:rsid w:val="029544E7"/>
    <w:rsid w:val="0359DC27"/>
    <w:rsid w:val="038D26A1"/>
    <w:rsid w:val="03AC5ACF"/>
    <w:rsid w:val="03C57732"/>
    <w:rsid w:val="0402C7C1"/>
    <w:rsid w:val="044FFCDD"/>
    <w:rsid w:val="045B04DC"/>
    <w:rsid w:val="04940B3A"/>
    <w:rsid w:val="04B22186"/>
    <w:rsid w:val="04DC068E"/>
    <w:rsid w:val="053DF29B"/>
    <w:rsid w:val="0575A59D"/>
    <w:rsid w:val="0583BBAA"/>
    <w:rsid w:val="0594FFD1"/>
    <w:rsid w:val="05F7250D"/>
    <w:rsid w:val="061E7934"/>
    <w:rsid w:val="062FDB68"/>
    <w:rsid w:val="063726C4"/>
    <w:rsid w:val="0659D930"/>
    <w:rsid w:val="0660D107"/>
    <w:rsid w:val="06638BD0"/>
    <w:rsid w:val="0679E558"/>
    <w:rsid w:val="068ABD46"/>
    <w:rsid w:val="06A00D3F"/>
    <w:rsid w:val="06AFC183"/>
    <w:rsid w:val="0700F62F"/>
    <w:rsid w:val="07817C84"/>
    <w:rsid w:val="07912F6F"/>
    <w:rsid w:val="07BE6377"/>
    <w:rsid w:val="07D22239"/>
    <w:rsid w:val="08070B3D"/>
    <w:rsid w:val="080AC74C"/>
    <w:rsid w:val="08129F96"/>
    <w:rsid w:val="086215F8"/>
    <w:rsid w:val="096C90F5"/>
    <w:rsid w:val="0985A036"/>
    <w:rsid w:val="099B5A4C"/>
    <w:rsid w:val="09AE7048"/>
    <w:rsid w:val="09B3F726"/>
    <w:rsid w:val="09D40308"/>
    <w:rsid w:val="09F35213"/>
    <w:rsid w:val="0A38DB20"/>
    <w:rsid w:val="0A549471"/>
    <w:rsid w:val="0A9F5E6B"/>
    <w:rsid w:val="0AA63FDC"/>
    <w:rsid w:val="0AB2C855"/>
    <w:rsid w:val="0ABC78F0"/>
    <w:rsid w:val="0AEA3329"/>
    <w:rsid w:val="0B0B41C3"/>
    <w:rsid w:val="0B2765F8"/>
    <w:rsid w:val="0B41C7C4"/>
    <w:rsid w:val="0B5C1EE6"/>
    <w:rsid w:val="0BCA7242"/>
    <w:rsid w:val="0BCE659F"/>
    <w:rsid w:val="0BD2DC3D"/>
    <w:rsid w:val="0BFFFEF4"/>
    <w:rsid w:val="0C098419"/>
    <w:rsid w:val="0C47B0CE"/>
    <w:rsid w:val="0C7DE6E5"/>
    <w:rsid w:val="0C81FA22"/>
    <w:rsid w:val="0C9356F8"/>
    <w:rsid w:val="0CAE8841"/>
    <w:rsid w:val="0CAF616B"/>
    <w:rsid w:val="0CCEC111"/>
    <w:rsid w:val="0D0BB4DC"/>
    <w:rsid w:val="0D43E39F"/>
    <w:rsid w:val="0D4404AD"/>
    <w:rsid w:val="0D6BB612"/>
    <w:rsid w:val="0D8DB858"/>
    <w:rsid w:val="0D8E852C"/>
    <w:rsid w:val="0D918532"/>
    <w:rsid w:val="0DC938D3"/>
    <w:rsid w:val="0DE2C7C7"/>
    <w:rsid w:val="0E186054"/>
    <w:rsid w:val="0E1AD0D7"/>
    <w:rsid w:val="0E33A65D"/>
    <w:rsid w:val="0E47A478"/>
    <w:rsid w:val="0E4F0923"/>
    <w:rsid w:val="0E8236F5"/>
    <w:rsid w:val="0E9787A6"/>
    <w:rsid w:val="0EB7A11B"/>
    <w:rsid w:val="0EE0803B"/>
    <w:rsid w:val="0EF857F8"/>
    <w:rsid w:val="0F0C7E92"/>
    <w:rsid w:val="0F2D82F5"/>
    <w:rsid w:val="0FA1723A"/>
    <w:rsid w:val="0FB4094F"/>
    <w:rsid w:val="0FE6E1D2"/>
    <w:rsid w:val="100F7D03"/>
    <w:rsid w:val="103B4CE3"/>
    <w:rsid w:val="1051EEC3"/>
    <w:rsid w:val="1057E62F"/>
    <w:rsid w:val="10AD6FFB"/>
    <w:rsid w:val="10CD6E1F"/>
    <w:rsid w:val="10E40C7E"/>
    <w:rsid w:val="10FFE014"/>
    <w:rsid w:val="11717B1B"/>
    <w:rsid w:val="11ADB675"/>
    <w:rsid w:val="121870DF"/>
    <w:rsid w:val="12443655"/>
    <w:rsid w:val="12612386"/>
    <w:rsid w:val="128538AD"/>
    <w:rsid w:val="128C4FA2"/>
    <w:rsid w:val="129E8B82"/>
    <w:rsid w:val="12EE4583"/>
    <w:rsid w:val="134623F5"/>
    <w:rsid w:val="139182EA"/>
    <w:rsid w:val="1398F40F"/>
    <w:rsid w:val="139904BC"/>
    <w:rsid w:val="13AF6F3B"/>
    <w:rsid w:val="13D46DAE"/>
    <w:rsid w:val="14373067"/>
    <w:rsid w:val="14AE404F"/>
    <w:rsid w:val="14F50F0A"/>
    <w:rsid w:val="14FAAD07"/>
    <w:rsid w:val="1506C65F"/>
    <w:rsid w:val="151B4810"/>
    <w:rsid w:val="151D3999"/>
    <w:rsid w:val="15813A4D"/>
    <w:rsid w:val="159F8EAF"/>
    <w:rsid w:val="15DF770B"/>
    <w:rsid w:val="15E1E607"/>
    <w:rsid w:val="15FAE6CE"/>
    <w:rsid w:val="167E5297"/>
    <w:rsid w:val="16B75732"/>
    <w:rsid w:val="16EBA231"/>
    <w:rsid w:val="16EDFDE6"/>
    <w:rsid w:val="1776C5CB"/>
    <w:rsid w:val="1778FEB2"/>
    <w:rsid w:val="17A062D3"/>
    <w:rsid w:val="17F8DD32"/>
    <w:rsid w:val="17F9DDF1"/>
    <w:rsid w:val="182B58FD"/>
    <w:rsid w:val="1874C406"/>
    <w:rsid w:val="187DE8F2"/>
    <w:rsid w:val="18B5310A"/>
    <w:rsid w:val="18C57A8E"/>
    <w:rsid w:val="18D2F2B2"/>
    <w:rsid w:val="192B6025"/>
    <w:rsid w:val="193627B9"/>
    <w:rsid w:val="19BA95A9"/>
    <w:rsid w:val="1A06D314"/>
    <w:rsid w:val="1A6F2E51"/>
    <w:rsid w:val="1A749941"/>
    <w:rsid w:val="1A99A66F"/>
    <w:rsid w:val="1AF5C721"/>
    <w:rsid w:val="1B1AFF60"/>
    <w:rsid w:val="1B1B57E2"/>
    <w:rsid w:val="1B7B6448"/>
    <w:rsid w:val="1BA9282D"/>
    <w:rsid w:val="1BF10FDC"/>
    <w:rsid w:val="1C09A2E3"/>
    <w:rsid w:val="1C54B608"/>
    <w:rsid w:val="1C5C97C8"/>
    <w:rsid w:val="1C732AFB"/>
    <w:rsid w:val="1C969DF9"/>
    <w:rsid w:val="1CA529E4"/>
    <w:rsid w:val="1CD75723"/>
    <w:rsid w:val="1CDE107C"/>
    <w:rsid w:val="1D991E26"/>
    <w:rsid w:val="1DB43158"/>
    <w:rsid w:val="1DE5F329"/>
    <w:rsid w:val="1E2DF999"/>
    <w:rsid w:val="1E502E20"/>
    <w:rsid w:val="1E61A821"/>
    <w:rsid w:val="1E7597CE"/>
    <w:rsid w:val="1E8C7E3C"/>
    <w:rsid w:val="1EE426E3"/>
    <w:rsid w:val="1EEE1538"/>
    <w:rsid w:val="1EF75319"/>
    <w:rsid w:val="1F0A5D68"/>
    <w:rsid w:val="1F0EEC2D"/>
    <w:rsid w:val="1F0F2D87"/>
    <w:rsid w:val="1F19FDFB"/>
    <w:rsid w:val="1F271DEC"/>
    <w:rsid w:val="1F3230DF"/>
    <w:rsid w:val="1F40BDD9"/>
    <w:rsid w:val="1F700E01"/>
    <w:rsid w:val="1F8F6924"/>
    <w:rsid w:val="1FAF70A6"/>
    <w:rsid w:val="2009A0C8"/>
    <w:rsid w:val="201331A6"/>
    <w:rsid w:val="2014D399"/>
    <w:rsid w:val="201691B1"/>
    <w:rsid w:val="20326035"/>
    <w:rsid w:val="20AD9C16"/>
    <w:rsid w:val="20D98FA8"/>
    <w:rsid w:val="20E3F696"/>
    <w:rsid w:val="211298FC"/>
    <w:rsid w:val="2126993B"/>
    <w:rsid w:val="213EF8A9"/>
    <w:rsid w:val="21548AF8"/>
    <w:rsid w:val="215F9979"/>
    <w:rsid w:val="217C0208"/>
    <w:rsid w:val="219DF4B5"/>
    <w:rsid w:val="21E28264"/>
    <w:rsid w:val="21E448AF"/>
    <w:rsid w:val="21FC387B"/>
    <w:rsid w:val="21FF676B"/>
    <w:rsid w:val="220154FE"/>
    <w:rsid w:val="22117897"/>
    <w:rsid w:val="2231C24D"/>
    <w:rsid w:val="22883923"/>
    <w:rsid w:val="22AA464B"/>
    <w:rsid w:val="22AFCC4E"/>
    <w:rsid w:val="22D007BB"/>
    <w:rsid w:val="2300BA4E"/>
    <w:rsid w:val="2344028C"/>
    <w:rsid w:val="236511C9"/>
    <w:rsid w:val="236C2885"/>
    <w:rsid w:val="2374715B"/>
    <w:rsid w:val="23AEC099"/>
    <w:rsid w:val="23D22B8A"/>
    <w:rsid w:val="245166BD"/>
    <w:rsid w:val="24718F47"/>
    <w:rsid w:val="2497C94F"/>
    <w:rsid w:val="24B3A19D"/>
    <w:rsid w:val="24B7ED8C"/>
    <w:rsid w:val="24FFAA02"/>
    <w:rsid w:val="253BEEC7"/>
    <w:rsid w:val="2543C4B2"/>
    <w:rsid w:val="25551003"/>
    <w:rsid w:val="2569DF92"/>
    <w:rsid w:val="257EA439"/>
    <w:rsid w:val="25928F8F"/>
    <w:rsid w:val="25EC2922"/>
    <w:rsid w:val="26585A61"/>
    <w:rsid w:val="267EA0DB"/>
    <w:rsid w:val="26C6906F"/>
    <w:rsid w:val="27424742"/>
    <w:rsid w:val="274721D7"/>
    <w:rsid w:val="277C374E"/>
    <w:rsid w:val="2794DB6F"/>
    <w:rsid w:val="2804EB83"/>
    <w:rsid w:val="2822FF99"/>
    <w:rsid w:val="28274B72"/>
    <w:rsid w:val="284FDC4E"/>
    <w:rsid w:val="296EFE1D"/>
    <w:rsid w:val="296F1DAB"/>
    <w:rsid w:val="2A0441B4"/>
    <w:rsid w:val="2A19CF8C"/>
    <w:rsid w:val="2A3A50E9"/>
    <w:rsid w:val="2A6AD2C0"/>
    <w:rsid w:val="2A78F930"/>
    <w:rsid w:val="2A87DBA8"/>
    <w:rsid w:val="2AF28B11"/>
    <w:rsid w:val="2B1EA393"/>
    <w:rsid w:val="2B3BF7B0"/>
    <w:rsid w:val="2B4C66D4"/>
    <w:rsid w:val="2B78AE91"/>
    <w:rsid w:val="2B7F9642"/>
    <w:rsid w:val="2B841A89"/>
    <w:rsid w:val="2B85AA0B"/>
    <w:rsid w:val="2B9A0C95"/>
    <w:rsid w:val="2BA6D63D"/>
    <w:rsid w:val="2C2B4CFC"/>
    <w:rsid w:val="2C419312"/>
    <w:rsid w:val="2C682454"/>
    <w:rsid w:val="2CC449A7"/>
    <w:rsid w:val="2CC4CD28"/>
    <w:rsid w:val="2CFA98D8"/>
    <w:rsid w:val="2D60C0F8"/>
    <w:rsid w:val="2D98C02F"/>
    <w:rsid w:val="2DA1F5BA"/>
    <w:rsid w:val="2DB33BF7"/>
    <w:rsid w:val="2DC01A8A"/>
    <w:rsid w:val="2DD2EE45"/>
    <w:rsid w:val="2DDA16F2"/>
    <w:rsid w:val="2DDD88A7"/>
    <w:rsid w:val="2E28D605"/>
    <w:rsid w:val="2E44D870"/>
    <w:rsid w:val="2E71B9CB"/>
    <w:rsid w:val="2EC800FC"/>
    <w:rsid w:val="2F251B83"/>
    <w:rsid w:val="2F35747F"/>
    <w:rsid w:val="2F3A7C3B"/>
    <w:rsid w:val="2F46EAFB"/>
    <w:rsid w:val="2F5C1770"/>
    <w:rsid w:val="2FE83986"/>
    <w:rsid w:val="3024FDBD"/>
    <w:rsid w:val="3038B04C"/>
    <w:rsid w:val="304AF104"/>
    <w:rsid w:val="3080BD3B"/>
    <w:rsid w:val="30D3E840"/>
    <w:rsid w:val="31038FDA"/>
    <w:rsid w:val="3131D286"/>
    <w:rsid w:val="31351A17"/>
    <w:rsid w:val="3161016E"/>
    <w:rsid w:val="31697F33"/>
    <w:rsid w:val="319DA118"/>
    <w:rsid w:val="319E2819"/>
    <w:rsid w:val="31AF9EDF"/>
    <w:rsid w:val="31CB8004"/>
    <w:rsid w:val="32388324"/>
    <w:rsid w:val="3264DDCD"/>
    <w:rsid w:val="328326AE"/>
    <w:rsid w:val="32A6D50A"/>
    <w:rsid w:val="32C7954F"/>
    <w:rsid w:val="32DDDC3C"/>
    <w:rsid w:val="33966074"/>
    <w:rsid w:val="33B52282"/>
    <w:rsid w:val="33D02E6A"/>
    <w:rsid w:val="33DF2B66"/>
    <w:rsid w:val="33F55BE9"/>
    <w:rsid w:val="340B1397"/>
    <w:rsid w:val="343493BA"/>
    <w:rsid w:val="343E8932"/>
    <w:rsid w:val="34A6395F"/>
    <w:rsid w:val="34EBD5EE"/>
    <w:rsid w:val="3521B8D0"/>
    <w:rsid w:val="355BC488"/>
    <w:rsid w:val="3569EEA7"/>
    <w:rsid w:val="35DCE809"/>
    <w:rsid w:val="36005CCF"/>
    <w:rsid w:val="3624CE26"/>
    <w:rsid w:val="362981BD"/>
    <w:rsid w:val="362D21AF"/>
    <w:rsid w:val="36A5FD94"/>
    <w:rsid w:val="36BA1963"/>
    <w:rsid w:val="36C3D9F7"/>
    <w:rsid w:val="3712CF26"/>
    <w:rsid w:val="372390DB"/>
    <w:rsid w:val="3726385C"/>
    <w:rsid w:val="37510FB0"/>
    <w:rsid w:val="379A59BE"/>
    <w:rsid w:val="37C63FBC"/>
    <w:rsid w:val="3849F868"/>
    <w:rsid w:val="385843F7"/>
    <w:rsid w:val="385E8726"/>
    <w:rsid w:val="39041D1E"/>
    <w:rsid w:val="391C83D2"/>
    <w:rsid w:val="395CC4B0"/>
    <w:rsid w:val="39810CB1"/>
    <w:rsid w:val="39AEB6AA"/>
    <w:rsid w:val="39CD7DC8"/>
    <w:rsid w:val="39F0ED75"/>
    <w:rsid w:val="3A04CF26"/>
    <w:rsid w:val="3A23591A"/>
    <w:rsid w:val="3A235B41"/>
    <w:rsid w:val="3A25FD08"/>
    <w:rsid w:val="3A6C434C"/>
    <w:rsid w:val="3A810E69"/>
    <w:rsid w:val="3AE062E6"/>
    <w:rsid w:val="3B35B70F"/>
    <w:rsid w:val="3B46CCF9"/>
    <w:rsid w:val="3B7DAFD9"/>
    <w:rsid w:val="3B8853AA"/>
    <w:rsid w:val="3B8DCBCE"/>
    <w:rsid w:val="3B8FF348"/>
    <w:rsid w:val="3B93EDD5"/>
    <w:rsid w:val="3BD5372D"/>
    <w:rsid w:val="3BF86238"/>
    <w:rsid w:val="3C0CBEB8"/>
    <w:rsid w:val="3C286469"/>
    <w:rsid w:val="3C738031"/>
    <w:rsid w:val="3C7F359E"/>
    <w:rsid w:val="3C8AB446"/>
    <w:rsid w:val="3CB19769"/>
    <w:rsid w:val="3CBD6EE7"/>
    <w:rsid w:val="3D3F7DF0"/>
    <w:rsid w:val="3D5523FE"/>
    <w:rsid w:val="3DA80C19"/>
    <w:rsid w:val="3DAE5EA0"/>
    <w:rsid w:val="3DB868EC"/>
    <w:rsid w:val="3EA888CB"/>
    <w:rsid w:val="3EAAB3A2"/>
    <w:rsid w:val="3ECC02CE"/>
    <w:rsid w:val="3ED32CEF"/>
    <w:rsid w:val="3EF82949"/>
    <w:rsid w:val="3F29E8B7"/>
    <w:rsid w:val="3F8F54C3"/>
    <w:rsid w:val="3FA8D744"/>
    <w:rsid w:val="3FBAF72F"/>
    <w:rsid w:val="40039508"/>
    <w:rsid w:val="407AD8EF"/>
    <w:rsid w:val="408CDD3A"/>
    <w:rsid w:val="40C72356"/>
    <w:rsid w:val="40EAC8C6"/>
    <w:rsid w:val="40EF0DA7"/>
    <w:rsid w:val="40F407A6"/>
    <w:rsid w:val="411B618C"/>
    <w:rsid w:val="418EE8D1"/>
    <w:rsid w:val="41E187BB"/>
    <w:rsid w:val="41E585C0"/>
    <w:rsid w:val="41E789B0"/>
    <w:rsid w:val="420AC4CE"/>
    <w:rsid w:val="42D40A5B"/>
    <w:rsid w:val="42EE136C"/>
    <w:rsid w:val="437BCB2D"/>
    <w:rsid w:val="439A2F6E"/>
    <w:rsid w:val="43B097FA"/>
    <w:rsid w:val="43C0CF70"/>
    <w:rsid w:val="43E50899"/>
    <w:rsid w:val="43EC6968"/>
    <w:rsid w:val="44C4094C"/>
    <w:rsid w:val="453A7F89"/>
    <w:rsid w:val="45CE25DE"/>
    <w:rsid w:val="45D744CB"/>
    <w:rsid w:val="45E5F6E6"/>
    <w:rsid w:val="46677AFC"/>
    <w:rsid w:val="46800729"/>
    <w:rsid w:val="469EDFF9"/>
    <w:rsid w:val="46AE53B7"/>
    <w:rsid w:val="46F5FC24"/>
    <w:rsid w:val="47FDF767"/>
    <w:rsid w:val="482546D7"/>
    <w:rsid w:val="4831E3C7"/>
    <w:rsid w:val="486BF868"/>
    <w:rsid w:val="4874475F"/>
    <w:rsid w:val="488F35F4"/>
    <w:rsid w:val="489BCBDF"/>
    <w:rsid w:val="4954AC75"/>
    <w:rsid w:val="495977CC"/>
    <w:rsid w:val="497F2E1B"/>
    <w:rsid w:val="49AB8B04"/>
    <w:rsid w:val="49BBA526"/>
    <w:rsid w:val="49C7F409"/>
    <w:rsid w:val="49F6B179"/>
    <w:rsid w:val="4A39108D"/>
    <w:rsid w:val="4A5B2680"/>
    <w:rsid w:val="4A87B492"/>
    <w:rsid w:val="4A89160E"/>
    <w:rsid w:val="4AB6FD38"/>
    <w:rsid w:val="4AD1EF3A"/>
    <w:rsid w:val="4AFFD436"/>
    <w:rsid w:val="4B182FD7"/>
    <w:rsid w:val="4B3C1716"/>
    <w:rsid w:val="4B6402FD"/>
    <w:rsid w:val="4B77666B"/>
    <w:rsid w:val="4BD02945"/>
    <w:rsid w:val="4C1352E7"/>
    <w:rsid w:val="4C5F958E"/>
    <w:rsid w:val="4C739CAB"/>
    <w:rsid w:val="4C82C702"/>
    <w:rsid w:val="4CA44EA0"/>
    <w:rsid w:val="4CA99DF7"/>
    <w:rsid w:val="4D637C54"/>
    <w:rsid w:val="4DDE36A0"/>
    <w:rsid w:val="4E00506A"/>
    <w:rsid w:val="4E57FBD7"/>
    <w:rsid w:val="4E5C87E9"/>
    <w:rsid w:val="4E9208EA"/>
    <w:rsid w:val="4EB4FF2E"/>
    <w:rsid w:val="4EECFFFB"/>
    <w:rsid w:val="4F02ECBA"/>
    <w:rsid w:val="4F35382C"/>
    <w:rsid w:val="4F5223D8"/>
    <w:rsid w:val="4F66AD35"/>
    <w:rsid w:val="4F9A9B47"/>
    <w:rsid w:val="4FB66F35"/>
    <w:rsid w:val="4FF3CD26"/>
    <w:rsid w:val="4FF3D948"/>
    <w:rsid w:val="504C7442"/>
    <w:rsid w:val="505B1FF3"/>
    <w:rsid w:val="5064D2B4"/>
    <w:rsid w:val="506DAC20"/>
    <w:rsid w:val="50A248E6"/>
    <w:rsid w:val="50ACE07C"/>
    <w:rsid w:val="50EC60F1"/>
    <w:rsid w:val="50FCDC6C"/>
    <w:rsid w:val="51010C05"/>
    <w:rsid w:val="5137D4C3"/>
    <w:rsid w:val="51579F9F"/>
    <w:rsid w:val="518637E7"/>
    <w:rsid w:val="51C5BBA1"/>
    <w:rsid w:val="52192E93"/>
    <w:rsid w:val="52846D6F"/>
    <w:rsid w:val="5286554D"/>
    <w:rsid w:val="53030E38"/>
    <w:rsid w:val="53423A56"/>
    <w:rsid w:val="536D511A"/>
    <w:rsid w:val="5420F33B"/>
    <w:rsid w:val="5421EA8D"/>
    <w:rsid w:val="54414F3D"/>
    <w:rsid w:val="545C5831"/>
    <w:rsid w:val="54759206"/>
    <w:rsid w:val="547BF604"/>
    <w:rsid w:val="5495A3A0"/>
    <w:rsid w:val="54A0694C"/>
    <w:rsid w:val="54C3CE6A"/>
    <w:rsid w:val="54EC05B7"/>
    <w:rsid w:val="55220C1E"/>
    <w:rsid w:val="5559D659"/>
    <w:rsid w:val="556DFBA2"/>
    <w:rsid w:val="565924D2"/>
    <w:rsid w:val="5687557A"/>
    <w:rsid w:val="56C43E6F"/>
    <w:rsid w:val="56CFD8CC"/>
    <w:rsid w:val="56E225B7"/>
    <w:rsid w:val="5731DA80"/>
    <w:rsid w:val="5743CDA9"/>
    <w:rsid w:val="5753579B"/>
    <w:rsid w:val="576C91C6"/>
    <w:rsid w:val="57BD62A5"/>
    <w:rsid w:val="57CB2E59"/>
    <w:rsid w:val="57F1D6E4"/>
    <w:rsid w:val="58DCC88E"/>
    <w:rsid w:val="592D03A3"/>
    <w:rsid w:val="59C908E3"/>
    <w:rsid w:val="59D4087C"/>
    <w:rsid w:val="5A136755"/>
    <w:rsid w:val="5A18560D"/>
    <w:rsid w:val="5A2BF5EB"/>
    <w:rsid w:val="5A3660D7"/>
    <w:rsid w:val="5A5D2590"/>
    <w:rsid w:val="5A86C9FC"/>
    <w:rsid w:val="5A9FC631"/>
    <w:rsid w:val="5ACAD554"/>
    <w:rsid w:val="5B2EA25A"/>
    <w:rsid w:val="5B3AC7F2"/>
    <w:rsid w:val="5B99617D"/>
    <w:rsid w:val="5BBDA92C"/>
    <w:rsid w:val="5C0A3A75"/>
    <w:rsid w:val="5C47E6F9"/>
    <w:rsid w:val="5C4BC440"/>
    <w:rsid w:val="5C6324B2"/>
    <w:rsid w:val="5CC7C8BA"/>
    <w:rsid w:val="5CFA45F7"/>
    <w:rsid w:val="5D08EC40"/>
    <w:rsid w:val="5D157511"/>
    <w:rsid w:val="5D2C6449"/>
    <w:rsid w:val="5D3DD22B"/>
    <w:rsid w:val="5D410CA3"/>
    <w:rsid w:val="5D841D2E"/>
    <w:rsid w:val="5D937A66"/>
    <w:rsid w:val="5DEEE997"/>
    <w:rsid w:val="5DF17551"/>
    <w:rsid w:val="5E31443E"/>
    <w:rsid w:val="5E57419D"/>
    <w:rsid w:val="5E71475D"/>
    <w:rsid w:val="5E8C8C3D"/>
    <w:rsid w:val="5EC390B3"/>
    <w:rsid w:val="5F04D191"/>
    <w:rsid w:val="5F27A9D0"/>
    <w:rsid w:val="5F87F693"/>
    <w:rsid w:val="5F89C274"/>
    <w:rsid w:val="5FB1A90D"/>
    <w:rsid w:val="6008637E"/>
    <w:rsid w:val="60575B58"/>
    <w:rsid w:val="60790FC9"/>
    <w:rsid w:val="60A41028"/>
    <w:rsid w:val="60ACE60E"/>
    <w:rsid w:val="60C30321"/>
    <w:rsid w:val="60F65B84"/>
    <w:rsid w:val="61070BDB"/>
    <w:rsid w:val="61593D21"/>
    <w:rsid w:val="6184B179"/>
    <w:rsid w:val="61D18595"/>
    <w:rsid w:val="61D9046F"/>
    <w:rsid w:val="61F9DAE8"/>
    <w:rsid w:val="61FADB9B"/>
    <w:rsid w:val="623170A0"/>
    <w:rsid w:val="62B32764"/>
    <w:rsid w:val="62B33F38"/>
    <w:rsid w:val="63876A25"/>
    <w:rsid w:val="63880E32"/>
    <w:rsid w:val="63A2976B"/>
    <w:rsid w:val="63B562AC"/>
    <w:rsid w:val="63D84893"/>
    <w:rsid w:val="63E021FF"/>
    <w:rsid w:val="63E8E0C1"/>
    <w:rsid w:val="64400657"/>
    <w:rsid w:val="645D74E4"/>
    <w:rsid w:val="646B51FE"/>
    <w:rsid w:val="6479E400"/>
    <w:rsid w:val="647DB03A"/>
    <w:rsid w:val="648A6ABA"/>
    <w:rsid w:val="64D0FC1F"/>
    <w:rsid w:val="651705BE"/>
    <w:rsid w:val="6525F68D"/>
    <w:rsid w:val="654EC831"/>
    <w:rsid w:val="654FB1DF"/>
    <w:rsid w:val="65555B18"/>
    <w:rsid w:val="65634A4E"/>
    <w:rsid w:val="6567ACBD"/>
    <w:rsid w:val="65841E0B"/>
    <w:rsid w:val="658EB9D9"/>
    <w:rsid w:val="65B38C1E"/>
    <w:rsid w:val="65EC293E"/>
    <w:rsid w:val="660E9BB0"/>
    <w:rsid w:val="663C1159"/>
    <w:rsid w:val="674A6A4E"/>
    <w:rsid w:val="674F4DEF"/>
    <w:rsid w:val="675CA748"/>
    <w:rsid w:val="6792C16B"/>
    <w:rsid w:val="695A4203"/>
    <w:rsid w:val="695AB2B8"/>
    <w:rsid w:val="697658C8"/>
    <w:rsid w:val="69D1313B"/>
    <w:rsid w:val="69D2F437"/>
    <w:rsid w:val="69FEB565"/>
    <w:rsid w:val="6A5EF819"/>
    <w:rsid w:val="6A6DBBFB"/>
    <w:rsid w:val="6A9AB06B"/>
    <w:rsid w:val="6ABA5F58"/>
    <w:rsid w:val="6ACA5502"/>
    <w:rsid w:val="6AEFAB20"/>
    <w:rsid w:val="6B05F30A"/>
    <w:rsid w:val="6B1FA00F"/>
    <w:rsid w:val="6B31BA81"/>
    <w:rsid w:val="6B510B51"/>
    <w:rsid w:val="6B8150CE"/>
    <w:rsid w:val="6BC4D972"/>
    <w:rsid w:val="6BE134AC"/>
    <w:rsid w:val="6BE28D2F"/>
    <w:rsid w:val="6BED4113"/>
    <w:rsid w:val="6BFF2F1E"/>
    <w:rsid w:val="6C58D264"/>
    <w:rsid w:val="6C5E1422"/>
    <w:rsid w:val="6C704233"/>
    <w:rsid w:val="6C763D6A"/>
    <w:rsid w:val="6CA635EC"/>
    <w:rsid w:val="6CADA5F0"/>
    <w:rsid w:val="6CF77793"/>
    <w:rsid w:val="6D4C72E6"/>
    <w:rsid w:val="6D4DEAFC"/>
    <w:rsid w:val="6D515B76"/>
    <w:rsid w:val="6D9CA33A"/>
    <w:rsid w:val="6DB6F21E"/>
    <w:rsid w:val="6DC57953"/>
    <w:rsid w:val="6DD3D8EE"/>
    <w:rsid w:val="6DDAB940"/>
    <w:rsid w:val="6DF741D7"/>
    <w:rsid w:val="6E64050D"/>
    <w:rsid w:val="6E7D89E8"/>
    <w:rsid w:val="6E9DDEA6"/>
    <w:rsid w:val="6EB5E68A"/>
    <w:rsid w:val="6EE80EAD"/>
    <w:rsid w:val="6F0078DA"/>
    <w:rsid w:val="6F1A275A"/>
    <w:rsid w:val="6F34C701"/>
    <w:rsid w:val="6F4EB189"/>
    <w:rsid w:val="6F502478"/>
    <w:rsid w:val="6F588ED6"/>
    <w:rsid w:val="6F867EAC"/>
    <w:rsid w:val="6FD35703"/>
    <w:rsid w:val="6FD62B57"/>
    <w:rsid w:val="7046DB6D"/>
    <w:rsid w:val="7064AD80"/>
    <w:rsid w:val="70C0A3A0"/>
    <w:rsid w:val="70D598D7"/>
    <w:rsid w:val="70F8FD4B"/>
    <w:rsid w:val="71AB90EF"/>
    <w:rsid w:val="71B9BE87"/>
    <w:rsid w:val="71F6D90B"/>
    <w:rsid w:val="721F5CAA"/>
    <w:rsid w:val="724BF5E6"/>
    <w:rsid w:val="7260CC66"/>
    <w:rsid w:val="72CDB951"/>
    <w:rsid w:val="731BF070"/>
    <w:rsid w:val="733236BD"/>
    <w:rsid w:val="734A0AD4"/>
    <w:rsid w:val="7355B282"/>
    <w:rsid w:val="73684606"/>
    <w:rsid w:val="738CBBAF"/>
    <w:rsid w:val="7395FAF9"/>
    <w:rsid w:val="73B4468C"/>
    <w:rsid w:val="73EDA6FA"/>
    <w:rsid w:val="73F400D8"/>
    <w:rsid w:val="73FD04D0"/>
    <w:rsid w:val="7423864A"/>
    <w:rsid w:val="7425311F"/>
    <w:rsid w:val="74D79426"/>
    <w:rsid w:val="7570066B"/>
    <w:rsid w:val="75A8E4CB"/>
    <w:rsid w:val="75D09DFC"/>
    <w:rsid w:val="75D1F0AE"/>
    <w:rsid w:val="75F4608A"/>
    <w:rsid w:val="765B0CCB"/>
    <w:rsid w:val="7685E864"/>
    <w:rsid w:val="76CFC159"/>
    <w:rsid w:val="76E1AB01"/>
    <w:rsid w:val="773C252D"/>
    <w:rsid w:val="775BE76A"/>
    <w:rsid w:val="77831972"/>
    <w:rsid w:val="7787830D"/>
    <w:rsid w:val="778FC72D"/>
    <w:rsid w:val="77ACAC1E"/>
    <w:rsid w:val="77C8894C"/>
    <w:rsid w:val="77CC794B"/>
    <w:rsid w:val="77DFC175"/>
    <w:rsid w:val="786CE4FB"/>
    <w:rsid w:val="78905D8A"/>
    <w:rsid w:val="78AA96FD"/>
    <w:rsid w:val="78AC695E"/>
    <w:rsid w:val="78B92128"/>
    <w:rsid w:val="78C1A9C5"/>
    <w:rsid w:val="78DD236F"/>
    <w:rsid w:val="78FDF524"/>
    <w:rsid w:val="7901B666"/>
    <w:rsid w:val="793C1345"/>
    <w:rsid w:val="795F577A"/>
    <w:rsid w:val="79C05879"/>
    <w:rsid w:val="79C31817"/>
    <w:rsid w:val="79DBDF0F"/>
    <w:rsid w:val="79EBFE08"/>
    <w:rsid w:val="7A00604B"/>
    <w:rsid w:val="7A4BCD9B"/>
    <w:rsid w:val="7A590E4F"/>
    <w:rsid w:val="7A9C0F3D"/>
    <w:rsid w:val="7AB8F18A"/>
    <w:rsid w:val="7AC3296D"/>
    <w:rsid w:val="7AE0FF54"/>
    <w:rsid w:val="7AE1C2C1"/>
    <w:rsid w:val="7B201867"/>
    <w:rsid w:val="7B62B512"/>
    <w:rsid w:val="7B67F402"/>
    <w:rsid w:val="7B9A1BB9"/>
    <w:rsid w:val="7BA421C5"/>
    <w:rsid w:val="7BB5AF6F"/>
    <w:rsid w:val="7BE2A1BE"/>
    <w:rsid w:val="7C028E71"/>
    <w:rsid w:val="7C05D546"/>
    <w:rsid w:val="7C3E0ABB"/>
    <w:rsid w:val="7C67E034"/>
    <w:rsid w:val="7C94C327"/>
    <w:rsid w:val="7CA8ED3F"/>
    <w:rsid w:val="7CE17810"/>
    <w:rsid w:val="7D35C304"/>
    <w:rsid w:val="7D3D4D1F"/>
    <w:rsid w:val="7D5AF2A6"/>
    <w:rsid w:val="7D740D57"/>
    <w:rsid w:val="7DC0F44E"/>
    <w:rsid w:val="7E1ACFC1"/>
    <w:rsid w:val="7E353150"/>
    <w:rsid w:val="7E4D6630"/>
    <w:rsid w:val="7E966F93"/>
    <w:rsid w:val="7EDC1197"/>
    <w:rsid w:val="7F9C54BB"/>
    <w:rsid w:val="7FDA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F317"/>
  <w15:chartTrackingRefBased/>
  <w15:docId w15:val="{23B9EB37-B92C-429A-9F68-471EEE6E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CADA5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3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C1"/>
  </w:style>
  <w:style w:type="paragraph" w:styleId="Footer">
    <w:name w:val="footer"/>
    <w:basedOn w:val="Normal"/>
    <w:link w:val="FooterChar"/>
    <w:uiPriority w:val="99"/>
    <w:unhideWhenUsed/>
    <w:rsid w:val="00B53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C1"/>
  </w:style>
  <w:style w:type="paragraph" w:styleId="Revision">
    <w:name w:val="Revision"/>
    <w:hidden/>
    <w:uiPriority w:val="99"/>
    <w:semiHidden/>
    <w:rsid w:val="00B539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2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5E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73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lii.org/en/on/laws/stat/so-2017-c-2-sch-5/latest/so-2017-c-2-sch-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smundi.com/en/document/decision/en-alicia-grace-and-others-v-united-mexican-states-reasons-for-decision-of-the-ontario-superior-court-of-justice-2026-onsc-2104-friday-10th-april-2026" TargetMode="Externa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nlii.org/en/on/onca/doc/2011/2011onca622/2011onca622.html?resultId=undefined&amp;searchId=2026-07-27T10:45:31:947/41575382f3d049b480fa131af316c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81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B0AC84C-729D-4152-8949-9513FBF918B6}">
  <we:reference id="WA200007271" version="1.0.0.4" store="Omex" storeType="OMEX"/>
  <we:alternateReferences>
    <we:reference id="WA200007271" version="1.0.0.4" store="WA20000727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1150</Words>
  <Characters>6411</Characters>
  <Application>Microsoft Office Word</Application>
  <DocSecurity>0</DocSecurity>
  <Lines>125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De Oliveira</dc:creator>
  <cp:keywords/>
  <dc:description/>
  <cp:lastModifiedBy>Markus Rotterdam</cp:lastModifiedBy>
  <cp:revision>9</cp:revision>
  <dcterms:created xsi:type="dcterms:W3CDTF">2026-07-27T12:28:00Z</dcterms:created>
  <dcterms:modified xsi:type="dcterms:W3CDTF">2026-07-27T13:46:00Z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doc0affdde8784a039b">
    <vt:lpwstr>019f959d-80af-723c-bc9d-f18f7c6e0dbe</vt:lpwstr>
  </property>
</Properties>
</file>