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9C46" w14:textId="24423863" w:rsidR="007414E0" w:rsidRPr="0047330A" w:rsidRDefault="00985F6D" w:rsidP="009C424B">
      <w:pPr>
        <w:spacing w:after="0" w:line="276" w:lineRule="auto"/>
        <w:jc w:val="both"/>
        <w:rPr>
          <w:rFonts w:ascii="Calibri" w:hAnsi="Calibri" w:cs="Calibri"/>
          <w:b/>
          <w:bCs/>
          <w:sz w:val="22"/>
          <w:szCs w:val="22"/>
        </w:rPr>
      </w:pPr>
      <w:r w:rsidRPr="0047330A">
        <w:rPr>
          <w:rFonts w:ascii="Calibri" w:hAnsi="Calibri" w:cs="Calibri"/>
          <w:b/>
          <w:bCs/>
          <w:sz w:val="22"/>
          <w:szCs w:val="22"/>
        </w:rPr>
        <w:t>Talisman</w:t>
      </w:r>
      <w:r w:rsidR="007414E0" w:rsidRPr="0047330A">
        <w:rPr>
          <w:rFonts w:ascii="Calibri" w:hAnsi="Calibri" w:cs="Calibri"/>
          <w:b/>
          <w:bCs/>
          <w:sz w:val="22"/>
          <w:szCs w:val="22"/>
        </w:rPr>
        <w:t xml:space="preserve">’s </w:t>
      </w:r>
      <w:r w:rsidR="008242AF" w:rsidRPr="0047330A">
        <w:rPr>
          <w:rFonts w:ascii="Calibri" w:hAnsi="Calibri" w:cs="Calibri"/>
          <w:b/>
          <w:bCs/>
          <w:sz w:val="22"/>
          <w:szCs w:val="22"/>
        </w:rPr>
        <w:t>“</w:t>
      </w:r>
      <w:r w:rsidR="007414E0" w:rsidRPr="0047330A">
        <w:rPr>
          <w:rFonts w:ascii="Calibri" w:hAnsi="Calibri" w:cs="Calibri"/>
          <w:b/>
          <w:bCs/>
          <w:sz w:val="22"/>
          <w:szCs w:val="22"/>
        </w:rPr>
        <w:t>Snowblower</w:t>
      </w:r>
      <w:r w:rsidR="008242AF" w:rsidRPr="0047330A">
        <w:rPr>
          <w:rFonts w:ascii="Calibri" w:hAnsi="Calibri" w:cs="Calibri"/>
          <w:b/>
          <w:bCs/>
          <w:sz w:val="22"/>
          <w:szCs w:val="22"/>
        </w:rPr>
        <w:t>”</w:t>
      </w:r>
      <w:r w:rsidR="007414E0" w:rsidRPr="0047330A">
        <w:rPr>
          <w:rFonts w:ascii="Calibri" w:hAnsi="Calibri" w:cs="Calibri"/>
          <w:b/>
          <w:bCs/>
          <w:sz w:val="22"/>
          <w:szCs w:val="22"/>
        </w:rPr>
        <w:t xml:space="preserve">: </w:t>
      </w:r>
    </w:p>
    <w:p w14:paraId="29CD3428" w14:textId="2D34309C" w:rsidR="003F52F0" w:rsidRPr="0047330A" w:rsidRDefault="007414E0" w:rsidP="009C424B">
      <w:pPr>
        <w:spacing w:after="0" w:line="276" w:lineRule="auto"/>
        <w:jc w:val="both"/>
        <w:rPr>
          <w:rFonts w:ascii="Calibri" w:hAnsi="Calibri" w:cs="Calibri"/>
          <w:b/>
          <w:bCs/>
          <w:sz w:val="22"/>
          <w:szCs w:val="22"/>
        </w:rPr>
      </w:pPr>
      <w:r w:rsidRPr="0047330A">
        <w:rPr>
          <w:rFonts w:ascii="Calibri" w:hAnsi="Calibri" w:cs="Calibri"/>
          <w:b/>
          <w:bCs/>
          <w:sz w:val="22"/>
          <w:szCs w:val="22"/>
        </w:rPr>
        <w:t>Ontario Court Rejects Surety’s Attempt to Avoid Performance Bond Liability</w:t>
      </w:r>
    </w:p>
    <w:p w14:paraId="0B268583" w14:textId="77777777" w:rsidR="0047330A" w:rsidRPr="0047330A" w:rsidRDefault="0047330A" w:rsidP="009C424B">
      <w:pPr>
        <w:spacing w:after="0" w:line="276" w:lineRule="auto"/>
        <w:jc w:val="both"/>
        <w:rPr>
          <w:rFonts w:ascii="Calibri" w:hAnsi="Calibri" w:cs="Calibri"/>
          <w:b/>
          <w:bCs/>
          <w:sz w:val="22"/>
          <w:szCs w:val="22"/>
        </w:rPr>
      </w:pPr>
    </w:p>
    <w:p w14:paraId="4422D04F" w14:textId="1B043308" w:rsidR="0047330A" w:rsidRPr="0047330A" w:rsidRDefault="0047330A" w:rsidP="009C424B">
      <w:pPr>
        <w:spacing w:after="0" w:line="276" w:lineRule="auto"/>
        <w:jc w:val="both"/>
        <w:rPr>
          <w:rFonts w:ascii="Calibri" w:hAnsi="Calibri" w:cs="Calibri"/>
          <w:b/>
          <w:bCs/>
          <w:sz w:val="22"/>
          <w:szCs w:val="22"/>
        </w:rPr>
      </w:pPr>
      <w:r w:rsidRPr="0047330A">
        <w:rPr>
          <w:rFonts w:ascii="Calibri" w:hAnsi="Calibri" w:cs="Calibri"/>
          <w:b/>
          <w:bCs/>
          <w:sz w:val="22"/>
          <w:szCs w:val="22"/>
        </w:rPr>
        <w:t>Brendan Bowles and Isa Dookie</w:t>
      </w:r>
    </w:p>
    <w:p w14:paraId="576DDFEB" w14:textId="77777777" w:rsidR="007414E0" w:rsidRPr="007414E0" w:rsidRDefault="007414E0" w:rsidP="009C424B">
      <w:pPr>
        <w:jc w:val="both"/>
        <w:rPr>
          <w:rFonts w:ascii="Calibri" w:hAnsi="Calibri" w:cs="Calibri"/>
          <w:b/>
          <w:bCs/>
          <w:sz w:val="22"/>
          <w:szCs w:val="22"/>
          <w:u w:val="single"/>
        </w:rPr>
      </w:pPr>
    </w:p>
    <w:p w14:paraId="41641D8A" w14:textId="30A576E0" w:rsidR="002A7DDA" w:rsidRPr="00ED0E93" w:rsidRDefault="002A7DDA" w:rsidP="00682AA6">
      <w:pPr>
        <w:jc w:val="both"/>
        <w:rPr>
          <w:rFonts w:ascii="Calibri" w:hAnsi="Calibri" w:cs="Calibri"/>
          <w:sz w:val="22"/>
          <w:szCs w:val="22"/>
          <w:lang w:val="en-US"/>
        </w:rPr>
      </w:pPr>
      <w:r>
        <w:rPr>
          <w:rFonts w:ascii="Calibri" w:hAnsi="Calibri" w:cs="Calibri"/>
          <w:sz w:val="22"/>
          <w:szCs w:val="22"/>
          <w:lang w:val="en-US"/>
        </w:rPr>
        <w:t xml:space="preserve">The Ontario Superior Court of Justice </w:t>
      </w:r>
      <w:r w:rsidR="00703EDB">
        <w:rPr>
          <w:rFonts w:ascii="Calibri" w:hAnsi="Calibri" w:cs="Calibri"/>
          <w:sz w:val="22"/>
          <w:szCs w:val="22"/>
          <w:lang w:val="en-US"/>
        </w:rPr>
        <w:t>recently considered</w:t>
      </w:r>
      <w:r>
        <w:rPr>
          <w:rFonts w:ascii="Calibri" w:hAnsi="Calibri" w:cs="Calibri"/>
          <w:sz w:val="22"/>
          <w:szCs w:val="22"/>
          <w:lang w:val="en-US"/>
        </w:rPr>
        <w:t xml:space="preserve"> the purpose of a performance </w:t>
      </w:r>
      <w:r w:rsidR="00E8606D">
        <w:rPr>
          <w:rFonts w:ascii="Calibri" w:hAnsi="Calibri" w:cs="Calibri"/>
          <w:sz w:val="22"/>
          <w:szCs w:val="22"/>
          <w:lang w:val="en-US"/>
        </w:rPr>
        <w:t xml:space="preserve">bond </w:t>
      </w:r>
      <w:r w:rsidR="00CA4739">
        <w:rPr>
          <w:rFonts w:ascii="Calibri" w:hAnsi="Calibri" w:cs="Calibri"/>
          <w:sz w:val="22"/>
          <w:szCs w:val="22"/>
          <w:lang w:val="en-US"/>
        </w:rPr>
        <w:t>and the scope of a surety’s duties in investigating a claim in</w:t>
      </w:r>
      <w:r>
        <w:rPr>
          <w:rFonts w:ascii="Calibri" w:hAnsi="Calibri" w:cs="Calibri"/>
          <w:i/>
          <w:iCs/>
          <w:sz w:val="22"/>
          <w:szCs w:val="22"/>
          <w:lang w:val="en-US"/>
        </w:rPr>
        <w:t xml:space="preserve"> </w:t>
      </w:r>
      <w:hyperlink r:id="rId8" w:history="1">
        <w:r w:rsidRPr="007843CD">
          <w:rPr>
            <w:rStyle w:val="Hyperlink"/>
            <w:rFonts w:ascii="Calibri" w:hAnsi="Calibri" w:cs="Calibri"/>
            <w:i/>
            <w:iCs/>
            <w:sz w:val="22"/>
            <w:szCs w:val="22"/>
            <w:lang w:val="en-US"/>
          </w:rPr>
          <w:t>Graphic Packaging International Canada, ULC v 2477621 Ontario In</w:t>
        </w:r>
        <w:r w:rsidR="007843CD" w:rsidRPr="007843CD">
          <w:rPr>
            <w:rStyle w:val="Hyperlink"/>
            <w:rFonts w:ascii="Calibri" w:hAnsi="Calibri" w:cs="Calibri"/>
            <w:i/>
            <w:iCs/>
            <w:sz w:val="22"/>
            <w:szCs w:val="22"/>
            <w:lang w:val="en-US"/>
          </w:rPr>
          <w:t>c</w:t>
        </w:r>
        <w:r w:rsidRPr="007843CD">
          <w:rPr>
            <w:rStyle w:val="Hyperlink"/>
            <w:rFonts w:ascii="Calibri" w:hAnsi="Calibri" w:cs="Calibri"/>
            <w:i/>
            <w:iCs/>
            <w:sz w:val="22"/>
            <w:szCs w:val="22"/>
            <w:lang w:val="en-US"/>
          </w:rPr>
          <w:t xml:space="preserve"> and Talisman Casualty Insurance Company</w:t>
        </w:r>
        <w:r w:rsidRPr="007843CD">
          <w:rPr>
            <w:rStyle w:val="Hyperlink"/>
            <w:rFonts w:ascii="Calibri" w:hAnsi="Calibri" w:cs="Calibri"/>
            <w:sz w:val="22"/>
            <w:szCs w:val="22"/>
            <w:lang w:val="en-US"/>
          </w:rPr>
          <w:t>, 2025 ONSC 7210</w:t>
        </w:r>
      </w:hyperlink>
      <w:r w:rsidR="001F164C">
        <w:rPr>
          <w:rFonts w:ascii="Calibri" w:hAnsi="Calibri" w:cs="Calibri"/>
          <w:sz w:val="22"/>
          <w:szCs w:val="22"/>
          <w:lang w:val="en-US"/>
        </w:rPr>
        <w:t>.</w:t>
      </w:r>
    </w:p>
    <w:p w14:paraId="7FEBB476" w14:textId="46E4CB7D" w:rsidR="00E40EFC" w:rsidRPr="00E40EFC" w:rsidRDefault="00873CBF" w:rsidP="009C424B">
      <w:pPr>
        <w:jc w:val="both"/>
        <w:rPr>
          <w:rFonts w:ascii="Calibri" w:hAnsi="Calibri" w:cs="Calibri"/>
          <w:b/>
          <w:bCs/>
          <w:sz w:val="22"/>
          <w:szCs w:val="22"/>
          <w:lang w:val="en-US"/>
        </w:rPr>
      </w:pPr>
      <w:r>
        <w:rPr>
          <w:rFonts w:ascii="Calibri" w:hAnsi="Calibri" w:cs="Calibri"/>
          <w:b/>
          <w:bCs/>
          <w:sz w:val="22"/>
          <w:szCs w:val="22"/>
          <w:lang w:val="en-US"/>
        </w:rPr>
        <w:t>Background</w:t>
      </w:r>
    </w:p>
    <w:p w14:paraId="70ADB09A" w14:textId="20A1F5FB" w:rsidR="00CA4739" w:rsidRDefault="002A7DDA" w:rsidP="009C424B">
      <w:pPr>
        <w:jc w:val="both"/>
        <w:rPr>
          <w:rFonts w:ascii="Calibri" w:hAnsi="Calibri" w:cs="Calibri"/>
          <w:sz w:val="22"/>
          <w:szCs w:val="22"/>
          <w:lang w:val="en-US"/>
        </w:rPr>
      </w:pPr>
      <w:r>
        <w:rPr>
          <w:rFonts w:ascii="Calibri" w:hAnsi="Calibri" w:cs="Calibri"/>
          <w:sz w:val="22"/>
          <w:szCs w:val="22"/>
          <w:lang w:val="en-US"/>
        </w:rPr>
        <w:t xml:space="preserve">The case </w:t>
      </w:r>
      <w:r w:rsidR="00E40EFC" w:rsidRPr="00E40EFC">
        <w:rPr>
          <w:rFonts w:ascii="Calibri" w:hAnsi="Calibri" w:cs="Calibri"/>
          <w:sz w:val="22"/>
          <w:szCs w:val="22"/>
          <w:lang w:val="en-US"/>
        </w:rPr>
        <w:t xml:space="preserve">arose from </w:t>
      </w:r>
      <w:r>
        <w:rPr>
          <w:rFonts w:ascii="Calibri" w:hAnsi="Calibri" w:cs="Calibri"/>
          <w:sz w:val="22"/>
          <w:szCs w:val="22"/>
          <w:lang w:val="en-US"/>
        </w:rPr>
        <w:t xml:space="preserve">a Quebec project but was litigated in Ontario. Graphic Packaging International Canada, ULC </w:t>
      </w:r>
      <w:r w:rsidRPr="004468DE">
        <w:rPr>
          <w:rFonts w:ascii="Calibri" w:hAnsi="Calibri" w:cs="Calibri"/>
          <w:sz w:val="22"/>
          <w:szCs w:val="22"/>
          <w:lang w:val="en-US"/>
        </w:rPr>
        <w:t>(“</w:t>
      </w:r>
      <w:r w:rsidRPr="00682AA6">
        <w:rPr>
          <w:rFonts w:ascii="Calibri" w:hAnsi="Calibri" w:cs="Calibri"/>
          <w:b/>
          <w:bCs/>
          <w:sz w:val="22"/>
          <w:szCs w:val="22"/>
          <w:lang w:val="en-US"/>
        </w:rPr>
        <w:t>Graphic”</w:t>
      </w:r>
      <w:r>
        <w:rPr>
          <w:rFonts w:ascii="Calibri" w:hAnsi="Calibri" w:cs="Calibri"/>
          <w:sz w:val="22"/>
          <w:szCs w:val="22"/>
          <w:lang w:val="en-US"/>
        </w:rPr>
        <w:t xml:space="preserve">) </w:t>
      </w:r>
      <w:r w:rsidR="00E40EFC" w:rsidRPr="00E40EFC">
        <w:rPr>
          <w:rFonts w:ascii="Calibri" w:hAnsi="Calibri" w:cs="Calibri"/>
          <w:sz w:val="22"/>
          <w:szCs w:val="22"/>
          <w:lang w:val="en-US"/>
        </w:rPr>
        <w:t>s</w:t>
      </w:r>
      <w:r w:rsidR="00CA4739">
        <w:rPr>
          <w:rFonts w:ascii="Calibri" w:hAnsi="Calibri" w:cs="Calibri"/>
          <w:sz w:val="22"/>
          <w:szCs w:val="22"/>
          <w:lang w:val="en-US"/>
        </w:rPr>
        <w:t>old</w:t>
      </w:r>
      <w:r w:rsidR="00E40EFC" w:rsidRPr="00E40EFC">
        <w:rPr>
          <w:rFonts w:ascii="Calibri" w:hAnsi="Calibri" w:cs="Calibri"/>
          <w:sz w:val="22"/>
          <w:szCs w:val="22"/>
          <w:lang w:val="en-US"/>
        </w:rPr>
        <w:t xml:space="preserve"> a contaminated former paper mill in Jonquière, Quebec</w:t>
      </w:r>
      <w:r w:rsidR="00F73AC3">
        <w:rPr>
          <w:rFonts w:ascii="Calibri" w:hAnsi="Calibri" w:cs="Calibri"/>
          <w:sz w:val="22"/>
          <w:szCs w:val="22"/>
          <w:lang w:val="en-US"/>
        </w:rPr>
        <w:t xml:space="preserve"> to</w:t>
      </w:r>
      <w:r w:rsidR="00CA4739">
        <w:rPr>
          <w:rFonts w:ascii="Calibri" w:hAnsi="Calibri" w:cs="Calibri"/>
          <w:sz w:val="22"/>
          <w:szCs w:val="22"/>
          <w:lang w:val="en-US"/>
        </w:rPr>
        <w:t xml:space="preserve"> 2477621 Ontario Inc. (“</w:t>
      </w:r>
      <w:r w:rsidR="00F73AC3" w:rsidRPr="00682AA6">
        <w:rPr>
          <w:rFonts w:ascii="Calibri" w:hAnsi="Calibri" w:cs="Calibri"/>
          <w:b/>
          <w:bCs/>
          <w:sz w:val="22"/>
          <w:szCs w:val="22"/>
          <w:lang w:val="en-US"/>
        </w:rPr>
        <w:t>247</w:t>
      </w:r>
      <w:r w:rsidR="00CA4739">
        <w:rPr>
          <w:rFonts w:ascii="Calibri" w:hAnsi="Calibri" w:cs="Calibri"/>
          <w:sz w:val="22"/>
          <w:szCs w:val="22"/>
          <w:lang w:val="en-US"/>
        </w:rPr>
        <w:t>”)</w:t>
      </w:r>
      <w:r w:rsidR="00E40EFC" w:rsidRPr="00E40EFC">
        <w:rPr>
          <w:rFonts w:ascii="Calibri" w:hAnsi="Calibri" w:cs="Calibri"/>
          <w:sz w:val="22"/>
          <w:szCs w:val="22"/>
          <w:lang w:val="en-US"/>
        </w:rPr>
        <w:t xml:space="preserve">. </w:t>
      </w:r>
    </w:p>
    <w:p w14:paraId="10771313" w14:textId="53CD9A7A" w:rsidR="00E40EFC" w:rsidRPr="00E40EFC" w:rsidRDefault="00E40EFC" w:rsidP="009C424B">
      <w:pPr>
        <w:jc w:val="both"/>
        <w:rPr>
          <w:rFonts w:ascii="Calibri" w:hAnsi="Calibri" w:cs="Calibri"/>
          <w:sz w:val="22"/>
          <w:szCs w:val="22"/>
          <w:lang w:val="en-US"/>
        </w:rPr>
      </w:pPr>
      <w:r w:rsidRPr="00E40EFC">
        <w:rPr>
          <w:rFonts w:ascii="Calibri" w:hAnsi="Calibri" w:cs="Calibri"/>
          <w:sz w:val="22"/>
          <w:szCs w:val="22"/>
          <w:lang w:val="en-US"/>
        </w:rPr>
        <w:t>Although Graphic sold the property, Quebec environmental law still required Graphic, as the last operator, to complete the site rehabilitation. Under the A</w:t>
      </w:r>
      <w:r w:rsidR="00AE27DA">
        <w:rPr>
          <w:rFonts w:ascii="Calibri" w:hAnsi="Calibri" w:cs="Calibri"/>
          <w:sz w:val="22"/>
          <w:szCs w:val="22"/>
          <w:lang w:val="en-US"/>
        </w:rPr>
        <w:t>greement of Purchase and Sale</w:t>
      </w:r>
      <w:r w:rsidR="00703EDB">
        <w:rPr>
          <w:rFonts w:ascii="Calibri" w:hAnsi="Calibri" w:cs="Calibri"/>
          <w:sz w:val="22"/>
          <w:szCs w:val="22"/>
          <w:lang w:val="en-US"/>
        </w:rPr>
        <w:t xml:space="preserve"> (“</w:t>
      </w:r>
      <w:r w:rsidR="00703EDB" w:rsidRPr="004468DE">
        <w:rPr>
          <w:rFonts w:ascii="Calibri" w:hAnsi="Calibri" w:cs="Calibri"/>
          <w:b/>
          <w:bCs/>
          <w:sz w:val="22"/>
          <w:szCs w:val="22"/>
          <w:lang w:val="en-US"/>
        </w:rPr>
        <w:t>APS</w:t>
      </w:r>
      <w:r w:rsidR="00703EDB">
        <w:rPr>
          <w:rFonts w:ascii="Calibri" w:hAnsi="Calibri" w:cs="Calibri"/>
          <w:sz w:val="22"/>
          <w:szCs w:val="22"/>
          <w:lang w:val="en-US"/>
        </w:rPr>
        <w:t>”)</w:t>
      </w:r>
      <w:r w:rsidRPr="00E40EFC">
        <w:rPr>
          <w:rFonts w:ascii="Calibri" w:hAnsi="Calibri" w:cs="Calibri"/>
          <w:sz w:val="22"/>
          <w:szCs w:val="22"/>
          <w:lang w:val="en-US"/>
        </w:rPr>
        <w:t xml:space="preserve">, 247 assumed </w:t>
      </w:r>
      <w:proofErr w:type="gramStart"/>
      <w:r w:rsidRPr="00E40EFC">
        <w:rPr>
          <w:rFonts w:ascii="Calibri" w:hAnsi="Calibri" w:cs="Calibri"/>
          <w:sz w:val="22"/>
          <w:szCs w:val="22"/>
          <w:lang w:val="en-US"/>
        </w:rPr>
        <w:t>responsibility</w:t>
      </w:r>
      <w:proofErr w:type="gramEnd"/>
      <w:r w:rsidRPr="00E40EFC">
        <w:rPr>
          <w:rFonts w:ascii="Calibri" w:hAnsi="Calibri" w:cs="Calibri"/>
          <w:sz w:val="22"/>
          <w:szCs w:val="22"/>
          <w:lang w:val="en-US"/>
        </w:rPr>
        <w:t xml:space="preserve"> for demolishing the mill structures and provided a $2 million performance bond from Talisman</w:t>
      </w:r>
      <w:r w:rsidR="001F164C">
        <w:rPr>
          <w:rFonts w:ascii="Calibri" w:hAnsi="Calibri" w:cs="Calibri"/>
          <w:sz w:val="22"/>
          <w:szCs w:val="22"/>
          <w:lang w:val="en-US"/>
        </w:rPr>
        <w:t xml:space="preserve"> Casualty Insurance Company (“</w:t>
      </w:r>
      <w:r w:rsidR="001F164C" w:rsidRPr="00682AA6">
        <w:rPr>
          <w:rFonts w:ascii="Calibri" w:hAnsi="Calibri" w:cs="Calibri"/>
          <w:b/>
          <w:bCs/>
          <w:sz w:val="22"/>
          <w:szCs w:val="22"/>
          <w:lang w:val="en-US"/>
        </w:rPr>
        <w:t>Talisman</w:t>
      </w:r>
      <w:r w:rsidR="001F164C">
        <w:rPr>
          <w:rFonts w:ascii="Calibri" w:hAnsi="Calibri" w:cs="Calibri"/>
          <w:sz w:val="22"/>
          <w:szCs w:val="22"/>
          <w:lang w:val="en-US"/>
        </w:rPr>
        <w:t>”) naming Graphic as the obligee</w:t>
      </w:r>
      <w:r w:rsidRPr="00E40EFC">
        <w:rPr>
          <w:rFonts w:ascii="Calibri" w:hAnsi="Calibri" w:cs="Calibri"/>
          <w:sz w:val="22"/>
          <w:szCs w:val="22"/>
          <w:lang w:val="en-US"/>
        </w:rPr>
        <w:t xml:space="preserve">. The APS required 247 to provide a demolition scope of work within 30 days and complete the demolition within 24 months. It did </w:t>
      </w:r>
      <w:proofErr w:type="gramStart"/>
      <w:r w:rsidRPr="00E40EFC">
        <w:rPr>
          <w:rFonts w:ascii="Calibri" w:hAnsi="Calibri" w:cs="Calibri"/>
          <w:sz w:val="22"/>
          <w:szCs w:val="22"/>
          <w:lang w:val="en-US"/>
        </w:rPr>
        <w:t>neither</w:t>
      </w:r>
      <w:proofErr w:type="gramEnd"/>
      <w:r w:rsidRPr="00E40EFC">
        <w:rPr>
          <w:rFonts w:ascii="Calibri" w:hAnsi="Calibri" w:cs="Calibri"/>
          <w:sz w:val="22"/>
          <w:szCs w:val="22"/>
          <w:lang w:val="en-US"/>
        </w:rPr>
        <w:t>.</w:t>
      </w:r>
    </w:p>
    <w:p w14:paraId="19DB24A3" w14:textId="6F21FF8F" w:rsidR="008C1C3D" w:rsidRPr="003F52F0" w:rsidRDefault="001F164C" w:rsidP="009C424B">
      <w:pPr>
        <w:jc w:val="both"/>
        <w:rPr>
          <w:rFonts w:ascii="Calibri" w:hAnsi="Calibri" w:cs="Calibri"/>
          <w:sz w:val="22"/>
          <w:szCs w:val="22"/>
          <w:lang w:val="en-US"/>
        </w:rPr>
      </w:pPr>
      <w:r>
        <w:rPr>
          <w:rFonts w:ascii="Calibri" w:hAnsi="Calibri" w:cs="Calibri"/>
          <w:sz w:val="22"/>
          <w:szCs w:val="22"/>
        </w:rPr>
        <w:t>247</w:t>
      </w:r>
      <w:r w:rsidR="00E8606D">
        <w:rPr>
          <w:rFonts w:ascii="Calibri" w:hAnsi="Calibri" w:cs="Calibri"/>
          <w:sz w:val="22"/>
          <w:szCs w:val="22"/>
        </w:rPr>
        <w:t>’s</w:t>
      </w:r>
      <w:r w:rsidR="00873CBF" w:rsidRPr="00873CBF">
        <w:rPr>
          <w:rFonts w:ascii="Calibri" w:hAnsi="Calibri" w:cs="Calibri"/>
          <w:sz w:val="22"/>
          <w:szCs w:val="22"/>
        </w:rPr>
        <w:t xml:space="preserve"> default had immediate consequences. Demolition was the first stage of the rehabilitation process. Without it, Graphic could not properly advance the cleanup, and the Quebec regulator began increasing pressure on Graphic to act. Graphic therefore turned to the bond for the protection it had bargained for.</w:t>
      </w:r>
    </w:p>
    <w:p w14:paraId="60CBCE52" w14:textId="49941DA0" w:rsidR="00EE5A9A" w:rsidRPr="00EE5A9A" w:rsidRDefault="00985F6D" w:rsidP="009C424B">
      <w:pPr>
        <w:jc w:val="both"/>
        <w:rPr>
          <w:rFonts w:ascii="Calibri" w:hAnsi="Calibri" w:cs="Calibri"/>
          <w:b/>
          <w:bCs/>
          <w:sz w:val="22"/>
          <w:szCs w:val="22"/>
          <w:lang w:val="en-US"/>
        </w:rPr>
      </w:pPr>
      <w:r>
        <w:rPr>
          <w:rFonts w:ascii="Calibri" w:hAnsi="Calibri" w:cs="Calibri"/>
          <w:b/>
          <w:bCs/>
          <w:sz w:val="22"/>
          <w:szCs w:val="22"/>
          <w:lang w:val="en-US"/>
        </w:rPr>
        <w:t>Talisman</w:t>
      </w:r>
      <w:r w:rsidR="00EE5A9A" w:rsidRPr="00EE5A9A">
        <w:rPr>
          <w:rFonts w:ascii="Calibri" w:hAnsi="Calibri" w:cs="Calibri"/>
          <w:b/>
          <w:bCs/>
          <w:sz w:val="22"/>
          <w:szCs w:val="22"/>
          <w:lang w:val="en-US"/>
        </w:rPr>
        <w:t>’s response</w:t>
      </w:r>
    </w:p>
    <w:p w14:paraId="5BEBA662" w14:textId="78057B27" w:rsidR="008242AF" w:rsidRDefault="00EE5A9A" w:rsidP="009C424B">
      <w:pPr>
        <w:jc w:val="both"/>
        <w:rPr>
          <w:rFonts w:ascii="Calibri" w:hAnsi="Calibri" w:cs="Calibri"/>
          <w:sz w:val="22"/>
          <w:szCs w:val="22"/>
          <w:lang w:val="en-US"/>
        </w:rPr>
      </w:pPr>
      <w:r w:rsidRPr="00EE5A9A">
        <w:rPr>
          <w:rFonts w:ascii="Calibri" w:hAnsi="Calibri" w:cs="Calibri"/>
          <w:sz w:val="22"/>
          <w:szCs w:val="22"/>
          <w:lang w:val="en-US"/>
        </w:rPr>
        <w:t>Graphic notified</w:t>
      </w:r>
      <w:r w:rsidR="00C9189A">
        <w:rPr>
          <w:rFonts w:ascii="Calibri" w:hAnsi="Calibri" w:cs="Calibri"/>
          <w:sz w:val="22"/>
          <w:szCs w:val="22"/>
          <w:lang w:val="en-US"/>
        </w:rPr>
        <w:t xml:space="preserve"> Talisman</w:t>
      </w:r>
      <w:r w:rsidRPr="00EE5A9A">
        <w:rPr>
          <w:rFonts w:ascii="Calibri" w:hAnsi="Calibri" w:cs="Calibri"/>
          <w:sz w:val="22"/>
          <w:szCs w:val="22"/>
          <w:lang w:val="en-US"/>
        </w:rPr>
        <w:t xml:space="preserve"> that it was considering declaring contractor default and requested the conference contemplated by the bond. </w:t>
      </w:r>
      <w:r w:rsidR="00985F6D">
        <w:rPr>
          <w:rFonts w:ascii="Calibri" w:hAnsi="Calibri" w:cs="Calibri"/>
          <w:sz w:val="22"/>
          <w:szCs w:val="22"/>
          <w:lang w:val="en-US"/>
        </w:rPr>
        <w:t>Talisman</w:t>
      </w:r>
      <w:r w:rsidRPr="00EE5A9A">
        <w:rPr>
          <w:rFonts w:ascii="Calibri" w:hAnsi="Calibri" w:cs="Calibri"/>
          <w:sz w:val="22"/>
          <w:szCs w:val="22"/>
          <w:lang w:val="en-US"/>
        </w:rPr>
        <w:t xml:space="preserve"> did not respond. </w:t>
      </w:r>
    </w:p>
    <w:p w14:paraId="4CCDCD0F" w14:textId="62A0AECE" w:rsidR="001F164C" w:rsidRPr="00682AA6" w:rsidRDefault="00EE5A9A" w:rsidP="009C424B">
      <w:pPr>
        <w:jc w:val="both"/>
        <w:rPr>
          <w:rFonts w:ascii="Calibri" w:hAnsi="Calibri" w:cs="Calibri"/>
          <w:sz w:val="22"/>
          <w:szCs w:val="22"/>
          <w:lang w:val="en-US"/>
        </w:rPr>
      </w:pPr>
      <w:r w:rsidRPr="00EE5A9A">
        <w:rPr>
          <w:rFonts w:ascii="Calibri" w:hAnsi="Calibri" w:cs="Calibri"/>
          <w:sz w:val="22"/>
          <w:szCs w:val="22"/>
          <w:lang w:val="en-US"/>
        </w:rPr>
        <w:t xml:space="preserve">Graphic later declared 247 in default and notified </w:t>
      </w:r>
      <w:r w:rsidR="008242AF">
        <w:rPr>
          <w:rFonts w:ascii="Calibri" w:hAnsi="Calibri" w:cs="Calibri"/>
          <w:sz w:val="22"/>
          <w:szCs w:val="22"/>
          <w:lang w:val="en-US"/>
        </w:rPr>
        <w:t>Talisman of its principal’s default</w:t>
      </w:r>
      <w:r w:rsidRPr="00EE5A9A">
        <w:rPr>
          <w:rFonts w:ascii="Calibri" w:hAnsi="Calibri" w:cs="Calibri"/>
          <w:sz w:val="22"/>
          <w:szCs w:val="22"/>
          <w:lang w:val="en-US"/>
        </w:rPr>
        <w:t xml:space="preserve">. </w:t>
      </w:r>
      <w:r w:rsidR="00682AA6">
        <w:rPr>
          <w:rFonts w:ascii="Calibri" w:hAnsi="Calibri" w:cs="Calibri"/>
          <w:sz w:val="22"/>
          <w:szCs w:val="22"/>
          <w:lang w:val="en-US"/>
        </w:rPr>
        <w:t xml:space="preserve">Talisman </w:t>
      </w:r>
      <w:r w:rsidR="00682AA6" w:rsidRPr="00EE5A9A">
        <w:rPr>
          <w:rFonts w:ascii="Calibri" w:hAnsi="Calibri" w:cs="Calibri"/>
          <w:sz w:val="22"/>
          <w:szCs w:val="22"/>
          <w:lang w:val="en-US"/>
        </w:rPr>
        <w:t>responded</w:t>
      </w:r>
      <w:r w:rsidRPr="00EE5A9A">
        <w:rPr>
          <w:rFonts w:ascii="Calibri" w:hAnsi="Calibri" w:cs="Calibri"/>
          <w:sz w:val="22"/>
          <w:szCs w:val="22"/>
          <w:lang w:val="en-US"/>
        </w:rPr>
        <w:t xml:space="preserve"> with a broad request for documents and later denied liability on multiple grounds, including alleged owner default, deficiencies in the default notice, failure to satisfy the </w:t>
      </w:r>
      <w:r w:rsidR="00CD454E">
        <w:rPr>
          <w:rFonts w:ascii="Calibri" w:hAnsi="Calibri" w:cs="Calibri"/>
          <w:sz w:val="22"/>
          <w:szCs w:val="22"/>
          <w:lang w:val="en-US"/>
        </w:rPr>
        <w:t>“</w:t>
      </w:r>
      <w:r w:rsidRPr="00EE5A9A">
        <w:rPr>
          <w:rFonts w:ascii="Calibri" w:hAnsi="Calibri" w:cs="Calibri"/>
          <w:sz w:val="22"/>
          <w:szCs w:val="22"/>
          <w:lang w:val="en-US"/>
        </w:rPr>
        <w:t>Balance of the Contract Price</w:t>
      </w:r>
      <w:r w:rsidR="00CD454E">
        <w:rPr>
          <w:rFonts w:ascii="Calibri" w:hAnsi="Calibri" w:cs="Calibri"/>
          <w:sz w:val="22"/>
          <w:szCs w:val="22"/>
          <w:lang w:val="en-US"/>
        </w:rPr>
        <w:t>”</w:t>
      </w:r>
      <w:r w:rsidRPr="00EE5A9A">
        <w:rPr>
          <w:rFonts w:ascii="Calibri" w:hAnsi="Calibri" w:cs="Calibri"/>
          <w:sz w:val="22"/>
          <w:szCs w:val="22"/>
          <w:lang w:val="en-US"/>
        </w:rPr>
        <w:t xml:space="preserve"> requirement, prejudice, and variation of the bonded contract.</w:t>
      </w:r>
    </w:p>
    <w:p w14:paraId="6D4CACB7" w14:textId="7A208651" w:rsidR="006E2E12" w:rsidRDefault="007359F8" w:rsidP="009C424B">
      <w:pPr>
        <w:jc w:val="both"/>
        <w:rPr>
          <w:rFonts w:ascii="Calibri" w:hAnsi="Calibri" w:cs="Calibri"/>
          <w:b/>
          <w:bCs/>
          <w:sz w:val="22"/>
          <w:szCs w:val="22"/>
          <w:lang w:val="en-US"/>
        </w:rPr>
      </w:pPr>
      <w:r>
        <w:rPr>
          <w:rFonts w:ascii="Calibri" w:hAnsi="Calibri" w:cs="Calibri"/>
          <w:b/>
          <w:bCs/>
          <w:sz w:val="22"/>
          <w:szCs w:val="22"/>
          <w:lang w:val="en-US"/>
        </w:rPr>
        <w:t xml:space="preserve">The Court’s </w:t>
      </w:r>
      <w:r w:rsidR="000078F2">
        <w:rPr>
          <w:rFonts w:ascii="Calibri" w:hAnsi="Calibri" w:cs="Calibri"/>
          <w:b/>
          <w:bCs/>
          <w:sz w:val="22"/>
          <w:szCs w:val="22"/>
          <w:lang w:val="en-US"/>
        </w:rPr>
        <w:t>response</w:t>
      </w:r>
    </w:p>
    <w:p w14:paraId="6F850062" w14:textId="2EBCFD1C" w:rsidR="006E2E12" w:rsidRPr="00EE5A9A" w:rsidRDefault="007258A2" w:rsidP="009C424B">
      <w:pPr>
        <w:jc w:val="both"/>
        <w:rPr>
          <w:rFonts w:ascii="Calibri" w:hAnsi="Calibri" w:cs="Calibri"/>
          <w:sz w:val="22"/>
          <w:szCs w:val="22"/>
          <w:lang w:val="en-US"/>
        </w:rPr>
      </w:pPr>
      <w:r>
        <w:rPr>
          <w:rFonts w:ascii="Calibri" w:hAnsi="Calibri" w:cs="Calibri"/>
          <w:sz w:val="22"/>
          <w:szCs w:val="22"/>
          <w:lang w:val="en-US"/>
        </w:rPr>
        <w:t>Under pressure from the Ministry to complete the cleanup</w:t>
      </w:r>
      <w:r w:rsidR="009D642F">
        <w:rPr>
          <w:rFonts w:ascii="Calibri" w:hAnsi="Calibri" w:cs="Calibri"/>
          <w:sz w:val="22"/>
          <w:szCs w:val="22"/>
          <w:lang w:val="en-US"/>
        </w:rPr>
        <w:t xml:space="preserve"> and faced with 247’s delays and </w:t>
      </w:r>
      <w:r w:rsidR="00985F6D">
        <w:rPr>
          <w:rFonts w:ascii="Calibri" w:hAnsi="Calibri" w:cs="Calibri"/>
          <w:sz w:val="22"/>
          <w:szCs w:val="22"/>
          <w:lang w:val="en-US"/>
        </w:rPr>
        <w:t>Talisman</w:t>
      </w:r>
      <w:r w:rsidR="00890195">
        <w:rPr>
          <w:rFonts w:ascii="Calibri" w:hAnsi="Calibri" w:cs="Calibri"/>
          <w:sz w:val="22"/>
          <w:szCs w:val="22"/>
          <w:lang w:val="en-US"/>
        </w:rPr>
        <w:t xml:space="preserve">’s </w:t>
      </w:r>
      <w:r w:rsidR="008242AF">
        <w:rPr>
          <w:rFonts w:ascii="Calibri" w:hAnsi="Calibri" w:cs="Calibri"/>
          <w:sz w:val="22"/>
          <w:szCs w:val="22"/>
          <w:lang w:val="en-US"/>
        </w:rPr>
        <w:t>deni</w:t>
      </w:r>
      <w:r w:rsidR="008F2EC2">
        <w:rPr>
          <w:rFonts w:ascii="Calibri" w:hAnsi="Calibri" w:cs="Calibri"/>
          <w:sz w:val="22"/>
          <w:szCs w:val="22"/>
          <w:lang w:val="en-US"/>
        </w:rPr>
        <w:t>al</w:t>
      </w:r>
      <w:r>
        <w:rPr>
          <w:rFonts w:ascii="Calibri" w:hAnsi="Calibri" w:cs="Calibri"/>
          <w:sz w:val="22"/>
          <w:szCs w:val="22"/>
          <w:lang w:val="en-US"/>
        </w:rPr>
        <w:t xml:space="preserve">, </w:t>
      </w:r>
      <w:r w:rsidRPr="007258A2">
        <w:rPr>
          <w:rFonts w:ascii="Calibri" w:hAnsi="Calibri" w:cs="Calibri"/>
          <w:sz w:val="22"/>
          <w:szCs w:val="22"/>
          <w:lang w:val="en-US"/>
        </w:rPr>
        <w:t>Graphic</w:t>
      </w:r>
      <w:r>
        <w:rPr>
          <w:rFonts w:ascii="Calibri" w:hAnsi="Calibri" w:cs="Calibri"/>
          <w:sz w:val="22"/>
          <w:szCs w:val="22"/>
          <w:lang w:val="en-US"/>
        </w:rPr>
        <w:t xml:space="preserve"> took </w:t>
      </w:r>
      <w:r w:rsidR="008242AF">
        <w:rPr>
          <w:rFonts w:ascii="Calibri" w:hAnsi="Calibri" w:cs="Calibri"/>
          <w:sz w:val="22"/>
          <w:szCs w:val="22"/>
          <w:lang w:val="en-US"/>
        </w:rPr>
        <w:t>matter</w:t>
      </w:r>
      <w:r>
        <w:rPr>
          <w:rFonts w:ascii="Calibri" w:hAnsi="Calibri" w:cs="Calibri"/>
          <w:sz w:val="22"/>
          <w:szCs w:val="22"/>
          <w:lang w:val="en-US"/>
        </w:rPr>
        <w:t>s into its own hands.</w:t>
      </w:r>
      <w:r w:rsidR="009D642F">
        <w:rPr>
          <w:rFonts w:ascii="Calibri" w:hAnsi="Calibri" w:cs="Calibri"/>
          <w:sz w:val="22"/>
          <w:szCs w:val="22"/>
          <w:lang w:val="en-US"/>
        </w:rPr>
        <w:t xml:space="preserve"> It </w:t>
      </w:r>
      <w:r w:rsidR="005610B1" w:rsidRPr="005610B1">
        <w:rPr>
          <w:rFonts w:ascii="Calibri" w:hAnsi="Calibri" w:cs="Calibri"/>
          <w:sz w:val="22"/>
          <w:szCs w:val="22"/>
        </w:rPr>
        <w:t>obtained injuncti</w:t>
      </w:r>
      <w:r w:rsidR="008242AF">
        <w:rPr>
          <w:rFonts w:ascii="Calibri" w:hAnsi="Calibri" w:cs="Calibri"/>
          <w:sz w:val="22"/>
          <w:szCs w:val="22"/>
        </w:rPr>
        <w:t>ve</w:t>
      </w:r>
      <w:r w:rsidR="005610B1" w:rsidRPr="005610B1">
        <w:rPr>
          <w:rFonts w:ascii="Calibri" w:hAnsi="Calibri" w:cs="Calibri"/>
          <w:sz w:val="22"/>
          <w:szCs w:val="22"/>
        </w:rPr>
        <w:t xml:space="preserve"> relief, retook possession</w:t>
      </w:r>
      <w:r w:rsidR="008242AF">
        <w:rPr>
          <w:rFonts w:ascii="Calibri" w:hAnsi="Calibri" w:cs="Calibri"/>
          <w:sz w:val="22"/>
          <w:szCs w:val="22"/>
        </w:rPr>
        <w:t xml:space="preserve"> of the paper mill property</w:t>
      </w:r>
      <w:r w:rsidR="005610B1" w:rsidRPr="005610B1">
        <w:rPr>
          <w:rFonts w:ascii="Calibri" w:hAnsi="Calibri" w:cs="Calibri"/>
          <w:sz w:val="22"/>
          <w:szCs w:val="22"/>
        </w:rPr>
        <w:t xml:space="preserve">, </w:t>
      </w:r>
      <w:r w:rsidR="008242AF">
        <w:rPr>
          <w:rFonts w:ascii="Calibri" w:hAnsi="Calibri" w:cs="Calibri"/>
          <w:sz w:val="22"/>
          <w:szCs w:val="22"/>
        </w:rPr>
        <w:t>hired</w:t>
      </w:r>
      <w:r w:rsidR="005610B1" w:rsidRPr="005610B1">
        <w:rPr>
          <w:rFonts w:ascii="Calibri" w:hAnsi="Calibri" w:cs="Calibri"/>
          <w:sz w:val="22"/>
          <w:szCs w:val="22"/>
        </w:rPr>
        <w:t xml:space="preserve"> its consultants and contractors </w:t>
      </w:r>
      <w:r w:rsidR="008242AF">
        <w:rPr>
          <w:rFonts w:ascii="Calibri" w:hAnsi="Calibri" w:cs="Calibri"/>
          <w:sz w:val="22"/>
          <w:szCs w:val="22"/>
        </w:rPr>
        <w:t xml:space="preserve">to </w:t>
      </w:r>
      <w:r w:rsidR="005610B1" w:rsidRPr="005610B1">
        <w:rPr>
          <w:rFonts w:ascii="Calibri" w:hAnsi="Calibri" w:cs="Calibri"/>
          <w:sz w:val="22"/>
          <w:szCs w:val="22"/>
        </w:rPr>
        <w:t>carry out the work</w:t>
      </w:r>
      <w:r w:rsidR="008242AF">
        <w:rPr>
          <w:rFonts w:ascii="Calibri" w:hAnsi="Calibri" w:cs="Calibri"/>
          <w:sz w:val="22"/>
          <w:szCs w:val="22"/>
        </w:rPr>
        <w:t xml:space="preserve"> remaining under 247’s contract</w:t>
      </w:r>
      <w:r w:rsidR="005610B1">
        <w:rPr>
          <w:rFonts w:ascii="Calibri" w:hAnsi="Calibri" w:cs="Calibri"/>
          <w:sz w:val="22"/>
          <w:szCs w:val="22"/>
        </w:rPr>
        <w:t xml:space="preserve">, </w:t>
      </w:r>
      <w:r w:rsidR="008242AF">
        <w:rPr>
          <w:rFonts w:ascii="Calibri" w:hAnsi="Calibri" w:cs="Calibri"/>
          <w:sz w:val="22"/>
          <w:szCs w:val="22"/>
        </w:rPr>
        <w:t xml:space="preserve">and </w:t>
      </w:r>
      <w:r w:rsidR="005610B1">
        <w:rPr>
          <w:rFonts w:ascii="Calibri" w:hAnsi="Calibri" w:cs="Calibri"/>
          <w:sz w:val="22"/>
          <w:szCs w:val="22"/>
        </w:rPr>
        <w:t>then</w:t>
      </w:r>
      <w:r w:rsidR="008F2EC2">
        <w:rPr>
          <w:rFonts w:ascii="Calibri" w:hAnsi="Calibri" w:cs="Calibri"/>
          <w:sz w:val="22"/>
          <w:szCs w:val="22"/>
          <w:lang w:val="en-US"/>
        </w:rPr>
        <w:t xml:space="preserve"> </w:t>
      </w:r>
      <w:r w:rsidR="008242AF">
        <w:rPr>
          <w:rFonts w:ascii="Calibri" w:hAnsi="Calibri" w:cs="Calibri"/>
          <w:sz w:val="22"/>
          <w:szCs w:val="22"/>
          <w:lang w:val="en-US"/>
        </w:rPr>
        <w:t xml:space="preserve">brought an action against 247 and Talisman in Ontario under the bond. In that action, Graphic </w:t>
      </w:r>
      <w:r w:rsidR="008F2EC2">
        <w:rPr>
          <w:rFonts w:ascii="Calibri" w:hAnsi="Calibri" w:cs="Calibri"/>
          <w:sz w:val="22"/>
          <w:szCs w:val="22"/>
          <w:lang w:val="en-US"/>
        </w:rPr>
        <w:t>moved</w:t>
      </w:r>
      <w:r w:rsidR="007359F8">
        <w:rPr>
          <w:rFonts w:ascii="Calibri" w:hAnsi="Calibri" w:cs="Calibri"/>
          <w:sz w:val="22"/>
          <w:szCs w:val="22"/>
          <w:lang w:val="en-US"/>
        </w:rPr>
        <w:t xml:space="preserve"> for summary judgment to enforce its claim against 247 for the expenses and against </w:t>
      </w:r>
      <w:r w:rsidR="008242AF">
        <w:rPr>
          <w:rFonts w:ascii="Calibri" w:hAnsi="Calibri" w:cs="Calibri"/>
          <w:sz w:val="22"/>
          <w:szCs w:val="22"/>
          <w:lang w:val="en-US"/>
        </w:rPr>
        <w:t xml:space="preserve">Talisman </w:t>
      </w:r>
      <w:r w:rsidR="007359F8">
        <w:rPr>
          <w:rFonts w:ascii="Calibri" w:hAnsi="Calibri" w:cs="Calibri"/>
          <w:sz w:val="22"/>
          <w:szCs w:val="22"/>
          <w:lang w:val="en-US"/>
        </w:rPr>
        <w:t>for breach of the performance bond.</w:t>
      </w:r>
    </w:p>
    <w:p w14:paraId="577A5D3B" w14:textId="64026238" w:rsidR="003F52F0" w:rsidRDefault="00585DF0" w:rsidP="009C424B">
      <w:pPr>
        <w:jc w:val="both"/>
        <w:rPr>
          <w:rFonts w:ascii="Calibri" w:hAnsi="Calibri" w:cs="Calibri"/>
          <w:sz w:val="22"/>
          <w:szCs w:val="22"/>
        </w:rPr>
      </w:pPr>
      <w:r w:rsidRPr="00585DF0">
        <w:rPr>
          <w:rFonts w:ascii="Calibri" w:hAnsi="Calibri" w:cs="Calibri"/>
          <w:sz w:val="22"/>
          <w:szCs w:val="22"/>
        </w:rPr>
        <w:lastRenderedPageBreak/>
        <w:t>The court was unimpressed</w:t>
      </w:r>
      <w:r w:rsidR="0006577B">
        <w:rPr>
          <w:rFonts w:ascii="Calibri" w:hAnsi="Calibri" w:cs="Calibri"/>
          <w:sz w:val="22"/>
          <w:szCs w:val="22"/>
        </w:rPr>
        <w:t xml:space="preserve"> with </w:t>
      </w:r>
      <w:r w:rsidR="00985F6D">
        <w:rPr>
          <w:rFonts w:ascii="Calibri" w:hAnsi="Calibri" w:cs="Calibri"/>
          <w:sz w:val="22"/>
          <w:szCs w:val="22"/>
        </w:rPr>
        <w:t>Talisman</w:t>
      </w:r>
      <w:r w:rsidR="004B7496">
        <w:rPr>
          <w:rFonts w:ascii="Calibri" w:hAnsi="Calibri" w:cs="Calibri"/>
          <w:sz w:val="22"/>
          <w:szCs w:val="22"/>
        </w:rPr>
        <w:t>’s</w:t>
      </w:r>
      <w:r w:rsidR="0006577B">
        <w:rPr>
          <w:rFonts w:ascii="Calibri" w:hAnsi="Calibri" w:cs="Calibri"/>
          <w:sz w:val="22"/>
          <w:szCs w:val="22"/>
        </w:rPr>
        <w:t xml:space="preserve"> response</w:t>
      </w:r>
      <w:r w:rsidRPr="00585DF0">
        <w:rPr>
          <w:rFonts w:ascii="Calibri" w:hAnsi="Calibri" w:cs="Calibri"/>
          <w:sz w:val="22"/>
          <w:szCs w:val="22"/>
        </w:rPr>
        <w:t xml:space="preserve">. </w:t>
      </w:r>
      <w:proofErr w:type="gramStart"/>
      <w:r w:rsidR="00F2094F">
        <w:rPr>
          <w:rFonts w:ascii="Calibri" w:hAnsi="Calibri" w:cs="Calibri"/>
          <w:sz w:val="22"/>
          <w:szCs w:val="22"/>
        </w:rPr>
        <w:t>In particular, i</w:t>
      </w:r>
      <w:r w:rsidR="0006577B">
        <w:rPr>
          <w:rFonts w:ascii="Calibri" w:hAnsi="Calibri" w:cs="Calibri"/>
          <w:sz w:val="22"/>
          <w:szCs w:val="22"/>
        </w:rPr>
        <w:t>t</w:t>
      </w:r>
      <w:proofErr w:type="gramEnd"/>
      <w:r w:rsidR="00F025FE">
        <w:rPr>
          <w:rFonts w:ascii="Calibri" w:hAnsi="Calibri" w:cs="Calibri"/>
          <w:sz w:val="22"/>
          <w:szCs w:val="22"/>
        </w:rPr>
        <w:t xml:space="preserve"> </w:t>
      </w:r>
      <w:r w:rsidR="001C3D20">
        <w:rPr>
          <w:rFonts w:ascii="Calibri" w:hAnsi="Calibri" w:cs="Calibri"/>
          <w:sz w:val="22"/>
          <w:szCs w:val="22"/>
        </w:rPr>
        <w:t>held</w:t>
      </w:r>
      <w:r w:rsidRPr="00585DF0">
        <w:rPr>
          <w:rFonts w:ascii="Calibri" w:hAnsi="Calibri" w:cs="Calibri"/>
          <w:sz w:val="22"/>
          <w:szCs w:val="22"/>
        </w:rPr>
        <w:t xml:space="preserve"> </w:t>
      </w:r>
      <w:r w:rsidR="00985F6D">
        <w:rPr>
          <w:rFonts w:ascii="Calibri" w:hAnsi="Calibri" w:cs="Calibri"/>
          <w:sz w:val="22"/>
          <w:szCs w:val="22"/>
        </w:rPr>
        <w:t>Talisman’s</w:t>
      </w:r>
      <w:r w:rsidRPr="00585DF0">
        <w:rPr>
          <w:rFonts w:ascii="Calibri" w:hAnsi="Calibri" w:cs="Calibri"/>
          <w:sz w:val="22"/>
          <w:szCs w:val="22"/>
        </w:rPr>
        <w:t xml:space="preserve"> </w:t>
      </w:r>
      <w:r w:rsidR="00735B38">
        <w:rPr>
          <w:rFonts w:ascii="Calibri" w:hAnsi="Calibri" w:cs="Calibri"/>
          <w:sz w:val="22"/>
          <w:szCs w:val="22"/>
        </w:rPr>
        <w:t>document request</w:t>
      </w:r>
      <w:r w:rsidR="001C3D20">
        <w:rPr>
          <w:rFonts w:ascii="Calibri" w:hAnsi="Calibri" w:cs="Calibri"/>
          <w:sz w:val="22"/>
          <w:szCs w:val="22"/>
        </w:rPr>
        <w:t xml:space="preserve"> </w:t>
      </w:r>
      <w:r w:rsidR="00C33C29">
        <w:rPr>
          <w:rFonts w:ascii="Calibri" w:hAnsi="Calibri" w:cs="Calibri"/>
          <w:sz w:val="22"/>
          <w:szCs w:val="22"/>
        </w:rPr>
        <w:t>to be unsupported by the wording of the performance bond</w:t>
      </w:r>
      <w:r w:rsidR="00985F6D">
        <w:rPr>
          <w:rFonts w:ascii="Calibri" w:hAnsi="Calibri" w:cs="Calibri"/>
          <w:sz w:val="22"/>
          <w:szCs w:val="22"/>
        </w:rPr>
        <w:t>,</w:t>
      </w:r>
      <w:r w:rsidR="00C33C29">
        <w:rPr>
          <w:rFonts w:ascii="Calibri" w:hAnsi="Calibri" w:cs="Calibri"/>
          <w:sz w:val="22"/>
          <w:szCs w:val="22"/>
        </w:rPr>
        <w:t xml:space="preserve"> </w:t>
      </w:r>
      <w:r w:rsidR="00F025FE">
        <w:rPr>
          <w:rFonts w:ascii="Calibri" w:hAnsi="Calibri" w:cs="Calibri"/>
          <w:sz w:val="22"/>
          <w:szCs w:val="22"/>
        </w:rPr>
        <w:t>describ</w:t>
      </w:r>
      <w:r w:rsidR="00985F6D">
        <w:rPr>
          <w:rFonts w:ascii="Calibri" w:hAnsi="Calibri" w:cs="Calibri"/>
          <w:sz w:val="22"/>
          <w:szCs w:val="22"/>
        </w:rPr>
        <w:t>ing</w:t>
      </w:r>
      <w:r w:rsidR="00F025FE">
        <w:rPr>
          <w:rFonts w:ascii="Calibri" w:hAnsi="Calibri" w:cs="Calibri"/>
          <w:sz w:val="22"/>
          <w:szCs w:val="22"/>
        </w:rPr>
        <w:t xml:space="preserve"> it</w:t>
      </w:r>
      <w:r w:rsidR="00735B38">
        <w:rPr>
          <w:rFonts w:ascii="Calibri" w:hAnsi="Calibri" w:cs="Calibri"/>
          <w:sz w:val="22"/>
          <w:szCs w:val="22"/>
        </w:rPr>
        <w:t xml:space="preserve"> as “a snowblower approach</w:t>
      </w:r>
      <w:r w:rsidR="00D809AB">
        <w:rPr>
          <w:rFonts w:ascii="Calibri" w:hAnsi="Calibri" w:cs="Calibri"/>
          <w:sz w:val="22"/>
          <w:szCs w:val="22"/>
        </w:rPr>
        <w:t>”</w:t>
      </w:r>
      <w:r w:rsidR="00526948">
        <w:rPr>
          <w:rFonts w:ascii="Calibri" w:hAnsi="Calibri" w:cs="Calibri"/>
          <w:sz w:val="22"/>
          <w:szCs w:val="22"/>
        </w:rPr>
        <w:t xml:space="preserve"> to bury Graphic in</w:t>
      </w:r>
      <w:r w:rsidR="004336EA">
        <w:rPr>
          <w:rFonts w:ascii="Calibri" w:hAnsi="Calibri" w:cs="Calibri"/>
          <w:sz w:val="22"/>
          <w:szCs w:val="22"/>
        </w:rPr>
        <w:t xml:space="preserve"> a</w:t>
      </w:r>
      <w:r w:rsidR="00526948">
        <w:rPr>
          <w:rFonts w:ascii="Calibri" w:hAnsi="Calibri" w:cs="Calibri"/>
          <w:sz w:val="22"/>
          <w:szCs w:val="22"/>
        </w:rPr>
        <w:t xml:space="preserve"> document and data request resembling documentary discovery in litigation. </w:t>
      </w:r>
      <w:r w:rsidR="00D809AB">
        <w:rPr>
          <w:rFonts w:ascii="Calibri" w:hAnsi="Calibri" w:cs="Calibri"/>
          <w:sz w:val="22"/>
          <w:szCs w:val="22"/>
        </w:rPr>
        <w:t>T</w:t>
      </w:r>
      <w:r w:rsidR="005A0B5D">
        <w:rPr>
          <w:rFonts w:ascii="Calibri" w:hAnsi="Calibri" w:cs="Calibri"/>
          <w:sz w:val="22"/>
          <w:szCs w:val="22"/>
        </w:rPr>
        <w:t xml:space="preserve">he request </w:t>
      </w:r>
      <w:r w:rsidR="008A2B1B">
        <w:rPr>
          <w:rFonts w:ascii="Calibri" w:hAnsi="Calibri" w:cs="Calibri"/>
          <w:sz w:val="22"/>
          <w:szCs w:val="22"/>
        </w:rPr>
        <w:t>for</w:t>
      </w:r>
      <w:r w:rsidR="005A0B5D">
        <w:rPr>
          <w:rFonts w:ascii="Calibri" w:hAnsi="Calibri" w:cs="Calibri"/>
          <w:sz w:val="22"/>
          <w:szCs w:val="22"/>
        </w:rPr>
        <w:t xml:space="preserve"> a long list of largely irrelevant documents</w:t>
      </w:r>
      <w:r w:rsidR="008A2B1B">
        <w:rPr>
          <w:rFonts w:ascii="Calibri" w:hAnsi="Calibri" w:cs="Calibri"/>
          <w:sz w:val="22"/>
          <w:szCs w:val="22"/>
        </w:rPr>
        <w:t>, the court said,</w:t>
      </w:r>
      <w:r w:rsidR="005A0B5D">
        <w:rPr>
          <w:rFonts w:ascii="Calibri" w:hAnsi="Calibri" w:cs="Calibri"/>
          <w:sz w:val="22"/>
          <w:szCs w:val="22"/>
        </w:rPr>
        <w:t xml:space="preserve"> </w:t>
      </w:r>
      <w:r w:rsidR="004B0A12">
        <w:rPr>
          <w:rFonts w:ascii="Calibri" w:hAnsi="Calibri" w:cs="Calibri"/>
          <w:sz w:val="22"/>
          <w:szCs w:val="22"/>
        </w:rPr>
        <w:t xml:space="preserve">telegraphed an intention to </w:t>
      </w:r>
      <w:r w:rsidR="00DE0474">
        <w:rPr>
          <w:rFonts w:ascii="Calibri" w:hAnsi="Calibri" w:cs="Calibri"/>
          <w:sz w:val="22"/>
          <w:szCs w:val="22"/>
        </w:rPr>
        <w:t xml:space="preserve">renege on </w:t>
      </w:r>
      <w:r w:rsidR="00703EDB">
        <w:rPr>
          <w:rFonts w:ascii="Calibri" w:hAnsi="Calibri" w:cs="Calibri"/>
          <w:sz w:val="22"/>
          <w:szCs w:val="22"/>
        </w:rPr>
        <w:t xml:space="preserve">the </w:t>
      </w:r>
      <w:r w:rsidR="00DE0474">
        <w:rPr>
          <w:rFonts w:ascii="Calibri" w:hAnsi="Calibri" w:cs="Calibri"/>
          <w:sz w:val="22"/>
          <w:szCs w:val="22"/>
        </w:rPr>
        <w:t>performance bond</w:t>
      </w:r>
      <w:r w:rsidR="00703EDB">
        <w:rPr>
          <w:rFonts w:ascii="Calibri" w:hAnsi="Calibri" w:cs="Calibri"/>
          <w:sz w:val="22"/>
          <w:szCs w:val="22"/>
        </w:rPr>
        <w:t>. The court</w:t>
      </w:r>
      <w:r w:rsidRPr="00585DF0">
        <w:rPr>
          <w:rFonts w:ascii="Calibri" w:hAnsi="Calibri" w:cs="Calibri"/>
          <w:sz w:val="22"/>
          <w:szCs w:val="22"/>
        </w:rPr>
        <w:t xml:space="preserve"> concluded that, instead of honouring its obligations, </w:t>
      </w:r>
      <w:r w:rsidR="00985F6D">
        <w:rPr>
          <w:rFonts w:ascii="Calibri" w:hAnsi="Calibri" w:cs="Calibri"/>
          <w:sz w:val="22"/>
          <w:szCs w:val="22"/>
        </w:rPr>
        <w:t>Talisman</w:t>
      </w:r>
      <w:r w:rsidRPr="00585DF0">
        <w:rPr>
          <w:rFonts w:ascii="Calibri" w:hAnsi="Calibri" w:cs="Calibri"/>
          <w:sz w:val="22"/>
          <w:szCs w:val="22"/>
        </w:rPr>
        <w:t xml:space="preserve"> had chosen “inaction, obstruction, and ultimately an illogical statement of denial of liability.”</w:t>
      </w:r>
    </w:p>
    <w:p w14:paraId="50FD320F" w14:textId="204CB6E8" w:rsidR="009F3184" w:rsidRDefault="00985F6D" w:rsidP="009C424B">
      <w:pPr>
        <w:jc w:val="both"/>
        <w:rPr>
          <w:rFonts w:ascii="Calibri" w:hAnsi="Calibri" w:cs="Calibri"/>
          <w:sz w:val="22"/>
          <w:szCs w:val="22"/>
        </w:rPr>
      </w:pPr>
      <w:r>
        <w:rPr>
          <w:rFonts w:ascii="Calibri" w:hAnsi="Calibri" w:cs="Calibri"/>
          <w:sz w:val="22"/>
          <w:szCs w:val="22"/>
        </w:rPr>
        <w:t>Talisman</w:t>
      </w:r>
      <w:r w:rsidR="00502685">
        <w:rPr>
          <w:rFonts w:ascii="Calibri" w:hAnsi="Calibri" w:cs="Calibri"/>
          <w:sz w:val="22"/>
          <w:szCs w:val="22"/>
        </w:rPr>
        <w:t xml:space="preserve"> </w:t>
      </w:r>
      <w:r>
        <w:rPr>
          <w:rFonts w:ascii="Calibri" w:hAnsi="Calibri" w:cs="Calibri"/>
          <w:sz w:val="22"/>
          <w:szCs w:val="22"/>
        </w:rPr>
        <w:t>unsuccessfully alleged</w:t>
      </w:r>
      <w:r w:rsidR="00514FE7">
        <w:rPr>
          <w:rFonts w:ascii="Calibri" w:hAnsi="Calibri" w:cs="Calibri"/>
          <w:sz w:val="22"/>
          <w:szCs w:val="22"/>
        </w:rPr>
        <w:t xml:space="preserve"> </w:t>
      </w:r>
      <w:r w:rsidR="008F1667">
        <w:rPr>
          <w:rFonts w:ascii="Calibri" w:hAnsi="Calibri" w:cs="Calibri"/>
          <w:sz w:val="22"/>
          <w:szCs w:val="22"/>
        </w:rPr>
        <w:t>as</w:t>
      </w:r>
      <w:r>
        <w:rPr>
          <w:rFonts w:ascii="Calibri" w:hAnsi="Calibri" w:cs="Calibri"/>
          <w:sz w:val="22"/>
          <w:szCs w:val="22"/>
        </w:rPr>
        <w:t xml:space="preserve"> follow</w:t>
      </w:r>
      <w:r w:rsidR="00B17EF2">
        <w:rPr>
          <w:rFonts w:ascii="Calibri" w:hAnsi="Calibri" w:cs="Calibri"/>
          <w:sz w:val="22"/>
          <w:szCs w:val="22"/>
        </w:rPr>
        <w:t>s</w:t>
      </w:r>
      <w:r w:rsidR="00514FE7">
        <w:rPr>
          <w:rFonts w:ascii="Calibri" w:hAnsi="Calibri" w:cs="Calibri"/>
          <w:sz w:val="22"/>
          <w:szCs w:val="22"/>
        </w:rPr>
        <w:t>:</w:t>
      </w:r>
    </w:p>
    <w:p w14:paraId="61F28DCD" w14:textId="264CC13D" w:rsidR="00514FE7" w:rsidRDefault="00514FE7" w:rsidP="009C424B">
      <w:pPr>
        <w:pStyle w:val="ListParagraph"/>
        <w:numPr>
          <w:ilvl w:val="0"/>
          <w:numId w:val="3"/>
        </w:numPr>
        <w:jc w:val="both"/>
        <w:rPr>
          <w:rFonts w:ascii="Calibri" w:hAnsi="Calibri" w:cs="Calibri"/>
          <w:sz w:val="22"/>
          <w:szCs w:val="22"/>
        </w:rPr>
      </w:pPr>
      <w:r>
        <w:rPr>
          <w:rFonts w:ascii="Calibri" w:hAnsi="Calibri" w:cs="Calibri"/>
          <w:sz w:val="22"/>
          <w:szCs w:val="22"/>
        </w:rPr>
        <w:t xml:space="preserve">Graphic failed to satisfy the conditions precedent to </w:t>
      </w:r>
      <w:r w:rsidR="00985F6D">
        <w:rPr>
          <w:rFonts w:ascii="Calibri" w:hAnsi="Calibri" w:cs="Calibri"/>
          <w:sz w:val="22"/>
          <w:szCs w:val="22"/>
        </w:rPr>
        <w:t>Talisman</w:t>
      </w:r>
      <w:r w:rsidR="00544750">
        <w:rPr>
          <w:rFonts w:ascii="Calibri" w:hAnsi="Calibri" w:cs="Calibri"/>
          <w:sz w:val="22"/>
          <w:szCs w:val="22"/>
        </w:rPr>
        <w:t>’s obligation</w:t>
      </w:r>
      <w:r w:rsidR="006246C4">
        <w:rPr>
          <w:rFonts w:ascii="Calibri" w:hAnsi="Calibri" w:cs="Calibri"/>
          <w:sz w:val="22"/>
          <w:szCs w:val="22"/>
        </w:rPr>
        <w:t>.</w:t>
      </w:r>
      <w:r w:rsidR="00544750">
        <w:rPr>
          <w:rFonts w:ascii="Calibri" w:hAnsi="Calibri" w:cs="Calibri"/>
          <w:sz w:val="22"/>
          <w:szCs w:val="22"/>
        </w:rPr>
        <w:t xml:space="preserve"> </w:t>
      </w:r>
      <w:r w:rsidR="006246C4">
        <w:rPr>
          <w:rFonts w:ascii="Calibri" w:hAnsi="Calibri" w:cs="Calibri"/>
          <w:sz w:val="22"/>
          <w:szCs w:val="22"/>
        </w:rPr>
        <w:t>T</w:t>
      </w:r>
      <w:r w:rsidR="00544750">
        <w:rPr>
          <w:rFonts w:ascii="Calibri" w:hAnsi="Calibri" w:cs="Calibri"/>
          <w:sz w:val="22"/>
          <w:szCs w:val="22"/>
        </w:rPr>
        <w:t xml:space="preserve">he court </w:t>
      </w:r>
      <w:r w:rsidR="00985F6D">
        <w:rPr>
          <w:rFonts w:ascii="Calibri" w:hAnsi="Calibri" w:cs="Calibri"/>
          <w:sz w:val="22"/>
          <w:szCs w:val="22"/>
        </w:rPr>
        <w:t xml:space="preserve">disagreed, </w:t>
      </w:r>
      <w:r w:rsidR="00544750">
        <w:rPr>
          <w:rFonts w:ascii="Calibri" w:hAnsi="Calibri" w:cs="Calibri"/>
          <w:sz w:val="22"/>
          <w:szCs w:val="22"/>
        </w:rPr>
        <w:t>h</w:t>
      </w:r>
      <w:r w:rsidR="00985F6D">
        <w:rPr>
          <w:rFonts w:ascii="Calibri" w:hAnsi="Calibri" w:cs="Calibri"/>
          <w:sz w:val="22"/>
          <w:szCs w:val="22"/>
        </w:rPr>
        <w:t>o</w:t>
      </w:r>
      <w:r w:rsidR="00544750">
        <w:rPr>
          <w:rFonts w:ascii="Calibri" w:hAnsi="Calibri" w:cs="Calibri"/>
          <w:sz w:val="22"/>
          <w:szCs w:val="22"/>
        </w:rPr>
        <w:t>ld</w:t>
      </w:r>
      <w:r w:rsidR="00985F6D">
        <w:rPr>
          <w:rFonts w:ascii="Calibri" w:hAnsi="Calibri" w:cs="Calibri"/>
          <w:sz w:val="22"/>
          <w:szCs w:val="22"/>
        </w:rPr>
        <w:t>ing</w:t>
      </w:r>
      <w:r w:rsidR="00544750">
        <w:rPr>
          <w:rFonts w:ascii="Calibri" w:hAnsi="Calibri" w:cs="Calibri"/>
          <w:sz w:val="22"/>
          <w:szCs w:val="22"/>
        </w:rPr>
        <w:t xml:space="preserve"> that Graphic </w:t>
      </w:r>
      <w:r w:rsidR="00B23CD7">
        <w:rPr>
          <w:rFonts w:ascii="Calibri" w:hAnsi="Calibri" w:cs="Calibri"/>
          <w:sz w:val="22"/>
          <w:szCs w:val="22"/>
        </w:rPr>
        <w:t xml:space="preserve">was not in default </w:t>
      </w:r>
      <w:r w:rsidR="00985F6D">
        <w:rPr>
          <w:rFonts w:ascii="Calibri" w:hAnsi="Calibri" w:cs="Calibri"/>
          <w:sz w:val="22"/>
          <w:szCs w:val="22"/>
        </w:rPr>
        <w:t xml:space="preserve">and that </w:t>
      </w:r>
      <w:r w:rsidR="00B23CD7">
        <w:rPr>
          <w:rFonts w:ascii="Calibri" w:hAnsi="Calibri" w:cs="Calibri"/>
          <w:sz w:val="22"/>
          <w:szCs w:val="22"/>
        </w:rPr>
        <w:t>it</w:t>
      </w:r>
      <w:r w:rsidR="00703EDB">
        <w:rPr>
          <w:rFonts w:ascii="Calibri" w:hAnsi="Calibri" w:cs="Calibri"/>
          <w:sz w:val="22"/>
          <w:szCs w:val="22"/>
        </w:rPr>
        <w:t xml:space="preserve"> had</w:t>
      </w:r>
      <w:r w:rsidR="00B23CD7">
        <w:rPr>
          <w:rFonts w:ascii="Calibri" w:hAnsi="Calibri" w:cs="Calibri"/>
          <w:sz w:val="22"/>
          <w:szCs w:val="22"/>
        </w:rPr>
        <w:t xml:space="preserve"> provided the requisite notices</w:t>
      </w:r>
      <w:r w:rsidR="00985F6D">
        <w:rPr>
          <w:rFonts w:ascii="Calibri" w:hAnsi="Calibri" w:cs="Calibri"/>
          <w:sz w:val="22"/>
          <w:szCs w:val="22"/>
        </w:rPr>
        <w:t xml:space="preserve"> to the surety </w:t>
      </w:r>
      <w:r w:rsidR="00703EDB">
        <w:rPr>
          <w:rFonts w:ascii="Calibri" w:hAnsi="Calibri" w:cs="Calibri"/>
          <w:sz w:val="22"/>
          <w:szCs w:val="22"/>
        </w:rPr>
        <w:t xml:space="preserve">as </w:t>
      </w:r>
      <w:r w:rsidR="00985F6D">
        <w:rPr>
          <w:rFonts w:ascii="Calibri" w:hAnsi="Calibri" w:cs="Calibri"/>
          <w:sz w:val="22"/>
          <w:szCs w:val="22"/>
        </w:rPr>
        <w:t>required by the bond.</w:t>
      </w:r>
      <w:r w:rsidR="00B23CD7">
        <w:rPr>
          <w:rFonts w:ascii="Calibri" w:hAnsi="Calibri" w:cs="Calibri"/>
          <w:sz w:val="22"/>
          <w:szCs w:val="22"/>
        </w:rPr>
        <w:t xml:space="preserve"> </w:t>
      </w:r>
      <w:r w:rsidR="00985F6D">
        <w:rPr>
          <w:rFonts w:ascii="Calibri" w:hAnsi="Calibri" w:cs="Calibri"/>
          <w:sz w:val="22"/>
          <w:szCs w:val="22"/>
        </w:rPr>
        <w:t>T</w:t>
      </w:r>
      <w:r w:rsidR="00E24319">
        <w:rPr>
          <w:rFonts w:ascii="Calibri" w:hAnsi="Calibri" w:cs="Calibri"/>
          <w:sz w:val="22"/>
          <w:szCs w:val="22"/>
        </w:rPr>
        <w:t xml:space="preserve">he court </w:t>
      </w:r>
      <w:r w:rsidR="00985F6D">
        <w:rPr>
          <w:rFonts w:ascii="Calibri" w:hAnsi="Calibri" w:cs="Calibri"/>
          <w:sz w:val="22"/>
          <w:szCs w:val="22"/>
        </w:rPr>
        <w:t xml:space="preserve">also </w:t>
      </w:r>
      <w:r w:rsidR="00E24319">
        <w:rPr>
          <w:rFonts w:ascii="Calibri" w:hAnsi="Calibri" w:cs="Calibri"/>
          <w:sz w:val="22"/>
          <w:szCs w:val="22"/>
        </w:rPr>
        <w:t>construed</w:t>
      </w:r>
      <w:r w:rsidR="00B0535F">
        <w:rPr>
          <w:rFonts w:ascii="Calibri" w:hAnsi="Calibri" w:cs="Calibri"/>
          <w:sz w:val="22"/>
          <w:szCs w:val="22"/>
        </w:rPr>
        <w:t xml:space="preserve"> correspondence </w:t>
      </w:r>
      <w:r w:rsidR="00703EDB">
        <w:rPr>
          <w:rFonts w:ascii="Calibri" w:hAnsi="Calibri" w:cs="Calibri"/>
          <w:sz w:val="22"/>
          <w:szCs w:val="22"/>
        </w:rPr>
        <w:t xml:space="preserve">from </w:t>
      </w:r>
      <w:r w:rsidR="00B87F79">
        <w:rPr>
          <w:rFonts w:ascii="Calibri" w:hAnsi="Calibri" w:cs="Calibri"/>
          <w:sz w:val="22"/>
          <w:szCs w:val="22"/>
        </w:rPr>
        <w:t>Graphic</w:t>
      </w:r>
      <w:r w:rsidR="00703EDB">
        <w:rPr>
          <w:rFonts w:ascii="Calibri" w:hAnsi="Calibri" w:cs="Calibri"/>
          <w:sz w:val="22"/>
          <w:szCs w:val="22"/>
        </w:rPr>
        <w:t xml:space="preserve"> indicating</w:t>
      </w:r>
      <w:r w:rsidR="00B87F79">
        <w:rPr>
          <w:rFonts w:ascii="Calibri" w:hAnsi="Calibri" w:cs="Calibri"/>
          <w:sz w:val="22"/>
          <w:szCs w:val="22"/>
        </w:rPr>
        <w:t xml:space="preserve"> </w:t>
      </w:r>
      <w:r w:rsidR="00425B8B">
        <w:rPr>
          <w:rFonts w:ascii="Calibri" w:hAnsi="Calibri" w:cs="Calibri"/>
          <w:sz w:val="22"/>
          <w:szCs w:val="22"/>
        </w:rPr>
        <w:t>that it was retaining a demolition contractor</w:t>
      </w:r>
      <w:r w:rsidR="00703EDB">
        <w:rPr>
          <w:rFonts w:ascii="Calibri" w:hAnsi="Calibri" w:cs="Calibri"/>
          <w:sz w:val="22"/>
          <w:szCs w:val="22"/>
        </w:rPr>
        <w:t xml:space="preserve"> as satisfying the bond’s</w:t>
      </w:r>
      <w:r w:rsidR="00241D38">
        <w:rPr>
          <w:rFonts w:ascii="Calibri" w:hAnsi="Calibri" w:cs="Calibri"/>
          <w:sz w:val="22"/>
          <w:szCs w:val="22"/>
        </w:rPr>
        <w:t xml:space="preserve"> requirement to agree to pay the bal</w:t>
      </w:r>
      <w:r w:rsidR="00CA337C">
        <w:rPr>
          <w:rFonts w:ascii="Calibri" w:hAnsi="Calibri" w:cs="Calibri"/>
          <w:sz w:val="22"/>
          <w:szCs w:val="22"/>
        </w:rPr>
        <w:t xml:space="preserve">ance of the contract price to </w:t>
      </w:r>
      <w:r w:rsidR="00985F6D">
        <w:rPr>
          <w:rFonts w:ascii="Calibri" w:hAnsi="Calibri" w:cs="Calibri"/>
          <w:sz w:val="22"/>
          <w:szCs w:val="22"/>
        </w:rPr>
        <w:t>Talisman</w:t>
      </w:r>
      <w:r w:rsidR="00CA337C">
        <w:rPr>
          <w:rFonts w:ascii="Calibri" w:hAnsi="Calibri" w:cs="Calibri"/>
          <w:sz w:val="22"/>
          <w:szCs w:val="22"/>
        </w:rPr>
        <w:t xml:space="preserve"> or a selected contractor.</w:t>
      </w:r>
    </w:p>
    <w:p w14:paraId="63E3F2DD" w14:textId="77777777" w:rsidR="00CA337C" w:rsidRDefault="00CA337C" w:rsidP="009C424B">
      <w:pPr>
        <w:pStyle w:val="ListParagraph"/>
        <w:jc w:val="both"/>
        <w:rPr>
          <w:rFonts w:ascii="Calibri" w:hAnsi="Calibri" w:cs="Calibri"/>
          <w:sz w:val="22"/>
          <w:szCs w:val="22"/>
        </w:rPr>
      </w:pPr>
    </w:p>
    <w:p w14:paraId="320C7AC0" w14:textId="1075FE41" w:rsidR="00544750" w:rsidRDefault="0008661F" w:rsidP="009C424B">
      <w:pPr>
        <w:pStyle w:val="ListParagraph"/>
        <w:numPr>
          <w:ilvl w:val="0"/>
          <w:numId w:val="3"/>
        </w:numPr>
        <w:jc w:val="both"/>
        <w:rPr>
          <w:rFonts w:ascii="Calibri" w:hAnsi="Calibri" w:cs="Calibri"/>
          <w:sz w:val="22"/>
          <w:szCs w:val="22"/>
        </w:rPr>
      </w:pPr>
      <w:r>
        <w:rPr>
          <w:rFonts w:ascii="Calibri" w:hAnsi="Calibri" w:cs="Calibri"/>
          <w:sz w:val="22"/>
          <w:szCs w:val="22"/>
        </w:rPr>
        <w:t xml:space="preserve">Graphic’s conduct prejudiced </w:t>
      </w:r>
      <w:r w:rsidR="00985F6D">
        <w:rPr>
          <w:rFonts w:ascii="Calibri" w:hAnsi="Calibri" w:cs="Calibri"/>
          <w:sz w:val="22"/>
          <w:szCs w:val="22"/>
        </w:rPr>
        <w:t>Talisman</w:t>
      </w:r>
      <w:r>
        <w:rPr>
          <w:rFonts w:ascii="Calibri" w:hAnsi="Calibri" w:cs="Calibri"/>
          <w:sz w:val="22"/>
          <w:szCs w:val="22"/>
        </w:rPr>
        <w:t>’s rights under the bond</w:t>
      </w:r>
      <w:r w:rsidR="00211907">
        <w:rPr>
          <w:rFonts w:ascii="Calibri" w:hAnsi="Calibri" w:cs="Calibri"/>
          <w:sz w:val="22"/>
          <w:szCs w:val="22"/>
        </w:rPr>
        <w:t xml:space="preserve"> by failing to provide the requested documents </w:t>
      </w:r>
      <w:r w:rsidR="001D56BB">
        <w:rPr>
          <w:rFonts w:ascii="Calibri" w:hAnsi="Calibri" w:cs="Calibri"/>
          <w:sz w:val="22"/>
          <w:szCs w:val="22"/>
        </w:rPr>
        <w:t xml:space="preserve">and </w:t>
      </w:r>
      <w:r w:rsidR="00211907">
        <w:rPr>
          <w:rFonts w:ascii="Calibri" w:hAnsi="Calibri" w:cs="Calibri"/>
          <w:sz w:val="22"/>
          <w:szCs w:val="22"/>
        </w:rPr>
        <w:t xml:space="preserve">retaining </w:t>
      </w:r>
      <w:r w:rsidR="007B17C4">
        <w:rPr>
          <w:rFonts w:ascii="Calibri" w:hAnsi="Calibri" w:cs="Calibri"/>
          <w:sz w:val="22"/>
          <w:szCs w:val="22"/>
        </w:rPr>
        <w:t xml:space="preserve">a contractor and arranging to perform the work without </w:t>
      </w:r>
      <w:r w:rsidR="00985F6D">
        <w:rPr>
          <w:rFonts w:ascii="Calibri" w:hAnsi="Calibri" w:cs="Calibri"/>
          <w:sz w:val="22"/>
          <w:szCs w:val="22"/>
        </w:rPr>
        <w:t>Talisman</w:t>
      </w:r>
      <w:r w:rsidR="007B17C4">
        <w:rPr>
          <w:rFonts w:ascii="Calibri" w:hAnsi="Calibri" w:cs="Calibri"/>
          <w:sz w:val="22"/>
          <w:szCs w:val="22"/>
        </w:rPr>
        <w:t>’s consent,</w:t>
      </w:r>
      <w:r w:rsidR="001D56BB">
        <w:rPr>
          <w:rFonts w:ascii="Calibri" w:hAnsi="Calibri" w:cs="Calibri"/>
          <w:sz w:val="22"/>
          <w:szCs w:val="22"/>
        </w:rPr>
        <w:t xml:space="preserve"> among other things</w:t>
      </w:r>
      <w:r w:rsidR="006246C4">
        <w:rPr>
          <w:rFonts w:ascii="Calibri" w:hAnsi="Calibri" w:cs="Calibri"/>
          <w:sz w:val="22"/>
          <w:szCs w:val="22"/>
        </w:rPr>
        <w:t xml:space="preserve">. </w:t>
      </w:r>
      <w:r w:rsidR="00985F6D">
        <w:rPr>
          <w:rFonts w:ascii="Calibri" w:hAnsi="Calibri" w:cs="Calibri"/>
          <w:sz w:val="22"/>
          <w:szCs w:val="22"/>
        </w:rPr>
        <w:t>However, t</w:t>
      </w:r>
      <w:r w:rsidR="006246C4">
        <w:rPr>
          <w:rFonts w:ascii="Calibri" w:hAnsi="Calibri" w:cs="Calibri"/>
          <w:sz w:val="22"/>
          <w:szCs w:val="22"/>
        </w:rPr>
        <w:t>he court held that the bond contained no right</w:t>
      </w:r>
      <w:r w:rsidR="00FA6293">
        <w:rPr>
          <w:rFonts w:ascii="Calibri" w:hAnsi="Calibri" w:cs="Calibri"/>
          <w:sz w:val="22"/>
          <w:szCs w:val="22"/>
        </w:rPr>
        <w:t xml:space="preserve"> to ask for the information or documents in </w:t>
      </w:r>
      <w:r w:rsidR="00985F6D">
        <w:rPr>
          <w:rFonts w:ascii="Calibri" w:hAnsi="Calibri" w:cs="Calibri"/>
          <w:sz w:val="22"/>
          <w:szCs w:val="22"/>
        </w:rPr>
        <w:t>Talisman</w:t>
      </w:r>
      <w:r w:rsidR="00FA6293">
        <w:rPr>
          <w:rFonts w:ascii="Calibri" w:hAnsi="Calibri" w:cs="Calibri"/>
          <w:sz w:val="22"/>
          <w:szCs w:val="22"/>
        </w:rPr>
        <w:t xml:space="preserve">’s request; it did contain a right to a meeting, but </w:t>
      </w:r>
      <w:r w:rsidR="00985F6D">
        <w:rPr>
          <w:rFonts w:ascii="Calibri" w:hAnsi="Calibri" w:cs="Calibri"/>
          <w:sz w:val="22"/>
          <w:szCs w:val="22"/>
        </w:rPr>
        <w:t>Talisman</w:t>
      </w:r>
      <w:r w:rsidR="00FA6293">
        <w:rPr>
          <w:rFonts w:ascii="Calibri" w:hAnsi="Calibri" w:cs="Calibri"/>
          <w:sz w:val="22"/>
          <w:szCs w:val="22"/>
        </w:rPr>
        <w:t xml:space="preserve"> did not respond to Graphic’s request for one. </w:t>
      </w:r>
      <w:r w:rsidR="00C51CF7">
        <w:rPr>
          <w:rFonts w:ascii="Calibri" w:hAnsi="Calibri" w:cs="Calibri"/>
          <w:sz w:val="22"/>
          <w:szCs w:val="22"/>
        </w:rPr>
        <w:t xml:space="preserve">As for moving ahead without </w:t>
      </w:r>
      <w:r w:rsidR="00985F6D">
        <w:rPr>
          <w:rFonts w:ascii="Calibri" w:hAnsi="Calibri" w:cs="Calibri"/>
          <w:sz w:val="22"/>
          <w:szCs w:val="22"/>
        </w:rPr>
        <w:t>Talisman</w:t>
      </w:r>
      <w:r w:rsidR="00C51CF7">
        <w:rPr>
          <w:rFonts w:ascii="Calibri" w:hAnsi="Calibri" w:cs="Calibri"/>
          <w:sz w:val="22"/>
          <w:szCs w:val="22"/>
        </w:rPr>
        <w:t>’s consent, the court</w:t>
      </w:r>
      <w:r w:rsidR="003F3CEB">
        <w:rPr>
          <w:rFonts w:ascii="Calibri" w:hAnsi="Calibri" w:cs="Calibri"/>
          <w:sz w:val="22"/>
          <w:szCs w:val="22"/>
        </w:rPr>
        <w:t xml:space="preserve"> held that Talisman’s history of tardy or counterproductive response</w:t>
      </w:r>
      <w:r w:rsidR="00985F6D">
        <w:rPr>
          <w:rFonts w:ascii="Calibri" w:hAnsi="Calibri" w:cs="Calibri"/>
          <w:sz w:val="22"/>
          <w:szCs w:val="22"/>
        </w:rPr>
        <w:t>s</w:t>
      </w:r>
      <w:r w:rsidR="003F3CEB">
        <w:rPr>
          <w:rFonts w:ascii="Calibri" w:hAnsi="Calibri" w:cs="Calibri"/>
          <w:sz w:val="22"/>
          <w:szCs w:val="22"/>
        </w:rPr>
        <w:t xml:space="preserve"> mean</w:t>
      </w:r>
      <w:r w:rsidR="00D64402">
        <w:rPr>
          <w:rFonts w:ascii="Calibri" w:hAnsi="Calibri" w:cs="Calibri"/>
          <w:sz w:val="22"/>
          <w:szCs w:val="22"/>
        </w:rPr>
        <w:t xml:space="preserve">t </w:t>
      </w:r>
      <w:r w:rsidR="00985F6D">
        <w:rPr>
          <w:rFonts w:ascii="Calibri" w:hAnsi="Calibri" w:cs="Calibri"/>
          <w:sz w:val="22"/>
          <w:szCs w:val="22"/>
        </w:rPr>
        <w:t xml:space="preserve">that </w:t>
      </w:r>
      <w:r w:rsidR="003F3CEB">
        <w:rPr>
          <w:rFonts w:ascii="Calibri" w:hAnsi="Calibri" w:cs="Calibri"/>
          <w:sz w:val="22"/>
          <w:szCs w:val="22"/>
        </w:rPr>
        <w:t>Graphic</w:t>
      </w:r>
      <w:r w:rsidR="00D64402">
        <w:rPr>
          <w:rFonts w:ascii="Calibri" w:hAnsi="Calibri" w:cs="Calibri"/>
          <w:sz w:val="22"/>
          <w:szCs w:val="22"/>
        </w:rPr>
        <w:t>’s actions were reasonable.</w:t>
      </w:r>
    </w:p>
    <w:p w14:paraId="66C47C19" w14:textId="77777777" w:rsidR="00D64402" w:rsidRPr="00D64402" w:rsidRDefault="00D64402" w:rsidP="009C424B">
      <w:pPr>
        <w:pStyle w:val="ListParagraph"/>
        <w:jc w:val="both"/>
        <w:rPr>
          <w:rFonts w:ascii="Calibri" w:hAnsi="Calibri" w:cs="Calibri"/>
          <w:sz w:val="22"/>
          <w:szCs w:val="22"/>
        </w:rPr>
      </w:pPr>
    </w:p>
    <w:p w14:paraId="4FD17850" w14:textId="006664EC" w:rsidR="00F52729" w:rsidRPr="00081D85" w:rsidRDefault="00977836" w:rsidP="00081D85">
      <w:pPr>
        <w:pStyle w:val="ListParagraph"/>
        <w:numPr>
          <w:ilvl w:val="0"/>
          <w:numId w:val="3"/>
        </w:numPr>
        <w:jc w:val="both"/>
        <w:rPr>
          <w:rFonts w:ascii="Calibri" w:hAnsi="Calibri" w:cs="Calibri"/>
          <w:sz w:val="22"/>
          <w:szCs w:val="22"/>
        </w:rPr>
      </w:pPr>
      <w:r>
        <w:rPr>
          <w:rFonts w:ascii="Calibri" w:hAnsi="Calibri" w:cs="Calibri"/>
          <w:sz w:val="22"/>
          <w:szCs w:val="22"/>
        </w:rPr>
        <w:t>Graphic</w:t>
      </w:r>
      <w:r w:rsidR="009461B9">
        <w:rPr>
          <w:rFonts w:ascii="Calibri" w:hAnsi="Calibri" w:cs="Calibri"/>
          <w:sz w:val="22"/>
          <w:szCs w:val="22"/>
        </w:rPr>
        <w:t xml:space="preserve"> materially varied the contract </w:t>
      </w:r>
      <w:r w:rsidR="00380129">
        <w:rPr>
          <w:rFonts w:ascii="Calibri" w:hAnsi="Calibri" w:cs="Calibri"/>
          <w:sz w:val="22"/>
          <w:szCs w:val="22"/>
        </w:rPr>
        <w:t xml:space="preserve">to </w:t>
      </w:r>
      <w:r w:rsidR="00985F6D">
        <w:rPr>
          <w:rFonts w:ascii="Calibri" w:hAnsi="Calibri" w:cs="Calibri"/>
          <w:sz w:val="22"/>
          <w:szCs w:val="22"/>
        </w:rPr>
        <w:t>Talisman</w:t>
      </w:r>
      <w:r w:rsidR="00380129">
        <w:rPr>
          <w:rFonts w:ascii="Calibri" w:hAnsi="Calibri" w:cs="Calibri"/>
          <w:sz w:val="22"/>
          <w:szCs w:val="22"/>
        </w:rPr>
        <w:t xml:space="preserve">’s detriment </w:t>
      </w:r>
      <w:r w:rsidR="009461B9">
        <w:rPr>
          <w:rFonts w:ascii="Calibri" w:hAnsi="Calibri" w:cs="Calibri"/>
          <w:sz w:val="22"/>
          <w:szCs w:val="22"/>
        </w:rPr>
        <w:t xml:space="preserve">without </w:t>
      </w:r>
      <w:r w:rsidR="00985F6D">
        <w:rPr>
          <w:rFonts w:ascii="Calibri" w:hAnsi="Calibri" w:cs="Calibri"/>
          <w:sz w:val="22"/>
          <w:szCs w:val="22"/>
        </w:rPr>
        <w:t>Talisman</w:t>
      </w:r>
      <w:r w:rsidR="009461B9">
        <w:rPr>
          <w:rFonts w:ascii="Calibri" w:hAnsi="Calibri" w:cs="Calibri"/>
          <w:sz w:val="22"/>
          <w:szCs w:val="22"/>
        </w:rPr>
        <w:t>’s consent</w:t>
      </w:r>
      <w:r w:rsidR="00002E0A">
        <w:rPr>
          <w:rFonts w:ascii="Calibri" w:hAnsi="Calibri" w:cs="Calibri"/>
          <w:sz w:val="22"/>
          <w:szCs w:val="22"/>
        </w:rPr>
        <w:t xml:space="preserve"> by</w:t>
      </w:r>
      <w:r w:rsidR="005E14B8">
        <w:rPr>
          <w:rFonts w:ascii="Calibri" w:hAnsi="Calibri" w:cs="Calibri"/>
          <w:sz w:val="22"/>
          <w:szCs w:val="22"/>
        </w:rPr>
        <w:t xml:space="preserve"> providing 247 with periods of grace</w:t>
      </w:r>
      <w:r w:rsidR="00002E0A">
        <w:rPr>
          <w:rFonts w:ascii="Calibri" w:hAnsi="Calibri" w:cs="Calibri"/>
          <w:sz w:val="22"/>
          <w:szCs w:val="22"/>
        </w:rPr>
        <w:t>. The court held that allowing the contractor more time to perform</w:t>
      </w:r>
      <w:r w:rsidR="0029292E">
        <w:rPr>
          <w:rFonts w:ascii="Calibri" w:hAnsi="Calibri" w:cs="Calibri"/>
          <w:sz w:val="22"/>
          <w:szCs w:val="22"/>
        </w:rPr>
        <w:t xml:space="preserve"> the work </w:t>
      </w:r>
      <w:r w:rsidR="00E41DCB">
        <w:rPr>
          <w:rFonts w:ascii="Calibri" w:hAnsi="Calibri" w:cs="Calibri"/>
          <w:sz w:val="22"/>
          <w:szCs w:val="22"/>
        </w:rPr>
        <w:t xml:space="preserve">could not </w:t>
      </w:r>
      <w:r w:rsidR="0029292E">
        <w:rPr>
          <w:rFonts w:ascii="Calibri" w:hAnsi="Calibri" w:cs="Calibri"/>
          <w:sz w:val="22"/>
          <w:szCs w:val="22"/>
        </w:rPr>
        <w:t xml:space="preserve">prejudice </w:t>
      </w:r>
      <w:r w:rsidR="00985F6D">
        <w:rPr>
          <w:rFonts w:ascii="Calibri" w:hAnsi="Calibri" w:cs="Calibri"/>
          <w:sz w:val="22"/>
          <w:szCs w:val="22"/>
        </w:rPr>
        <w:t>Talisman</w:t>
      </w:r>
      <w:r w:rsidR="00780DAD">
        <w:rPr>
          <w:rFonts w:ascii="Calibri" w:hAnsi="Calibri" w:cs="Calibri"/>
          <w:sz w:val="22"/>
          <w:szCs w:val="22"/>
        </w:rPr>
        <w:t xml:space="preserve">. </w:t>
      </w:r>
      <w:r w:rsidR="00504370">
        <w:rPr>
          <w:rFonts w:ascii="Calibri" w:hAnsi="Calibri" w:cs="Calibri"/>
          <w:sz w:val="22"/>
          <w:szCs w:val="22"/>
        </w:rPr>
        <w:t>By p</w:t>
      </w:r>
      <w:r w:rsidR="00464F40">
        <w:rPr>
          <w:rFonts w:ascii="Calibri" w:hAnsi="Calibri" w:cs="Calibri"/>
          <w:sz w:val="22"/>
          <w:szCs w:val="22"/>
        </w:rPr>
        <w:t xml:space="preserve">roviding </w:t>
      </w:r>
      <w:r w:rsidR="00985F6D">
        <w:rPr>
          <w:rFonts w:ascii="Calibri" w:hAnsi="Calibri" w:cs="Calibri"/>
          <w:sz w:val="22"/>
          <w:szCs w:val="22"/>
        </w:rPr>
        <w:t>Talisman</w:t>
      </w:r>
      <w:r w:rsidR="00464F40">
        <w:rPr>
          <w:rFonts w:ascii="Calibri" w:hAnsi="Calibri" w:cs="Calibri"/>
          <w:sz w:val="22"/>
          <w:szCs w:val="22"/>
        </w:rPr>
        <w:t xml:space="preserve"> timely notice</w:t>
      </w:r>
      <w:r w:rsidR="009C3D98">
        <w:rPr>
          <w:rFonts w:ascii="Calibri" w:hAnsi="Calibri" w:cs="Calibri"/>
          <w:sz w:val="22"/>
          <w:szCs w:val="22"/>
        </w:rPr>
        <w:t xml:space="preserve"> of 247’s delay and anticipatory notice of Graphic’s intention to declare a default, Graphic provided Talisman with ample opportunity to</w:t>
      </w:r>
      <w:r w:rsidR="00590F4E">
        <w:rPr>
          <w:rFonts w:ascii="Calibri" w:hAnsi="Calibri" w:cs="Calibri"/>
          <w:sz w:val="22"/>
          <w:szCs w:val="22"/>
        </w:rPr>
        <w:t xml:space="preserve"> engage with 247 and make plans to substitute 247.</w:t>
      </w:r>
    </w:p>
    <w:p w14:paraId="74DB5D8E" w14:textId="3686B83F" w:rsidR="00BF0A2D" w:rsidRDefault="00A70C1F" w:rsidP="009C424B">
      <w:pPr>
        <w:jc w:val="both"/>
        <w:rPr>
          <w:rFonts w:ascii="Calibri" w:hAnsi="Calibri" w:cs="Calibri"/>
          <w:sz w:val="22"/>
          <w:szCs w:val="22"/>
        </w:rPr>
      </w:pPr>
      <w:r w:rsidRPr="00A70C1F">
        <w:rPr>
          <w:rFonts w:ascii="Calibri" w:hAnsi="Calibri" w:cs="Calibri"/>
          <w:sz w:val="22"/>
          <w:szCs w:val="22"/>
        </w:rPr>
        <w:t xml:space="preserve">The </w:t>
      </w:r>
      <w:r>
        <w:rPr>
          <w:rFonts w:ascii="Calibri" w:hAnsi="Calibri" w:cs="Calibri"/>
          <w:sz w:val="22"/>
          <w:szCs w:val="22"/>
        </w:rPr>
        <w:t xml:space="preserve">court </w:t>
      </w:r>
      <w:r w:rsidR="005D6B5C">
        <w:rPr>
          <w:rFonts w:ascii="Calibri" w:hAnsi="Calibri" w:cs="Calibri"/>
          <w:sz w:val="22"/>
          <w:szCs w:val="22"/>
        </w:rPr>
        <w:t xml:space="preserve">held that the cost of demolition exceeded the limits of the </w:t>
      </w:r>
      <w:r w:rsidR="00291AD2">
        <w:rPr>
          <w:rFonts w:ascii="Calibri" w:hAnsi="Calibri" w:cs="Calibri"/>
          <w:sz w:val="22"/>
          <w:szCs w:val="22"/>
        </w:rPr>
        <w:t xml:space="preserve">$2 million </w:t>
      </w:r>
      <w:r w:rsidR="005D6B5C">
        <w:rPr>
          <w:rFonts w:ascii="Calibri" w:hAnsi="Calibri" w:cs="Calibri"/>
          <w:sz w:val="22"/>
          <w:szCs w:val="22"/>
        </w:rPr>
        <w:t>bond</w:t>
      </w:r>
      <w:r w:rsidR="00291AD2">
        <w:rPr>
          <w:rFonts w:ascii="Calibri" w:hAnsi="Calibri" w:cs="Calibri"/>
          <w:sz w:val="22"/>
          <w:szCs w:val="22"/>
        </w:rPr>
        <w:t xml:space="preserve">. It held </w:t>
      </w:r>
      <w:r w:rsidR="00985F6D">
        <w:rPr>
          <w:rFonts w:ascii="Calibri" w:hAnsi="Calibri" w:cs="Calibri"/>
          <w:sz w:val="22"/>
          <w:szCs w:val="22"/>
        </w:rPr>
        <w:t>Talisman</w:t>
      </w:r>
      <w:r w:rsidR="00291AD2">
        <w:rPr>
          <w:rFonts w:ascii="Calibri" w:hAnsi="Calibri" w:cs="Calibri"/>
          <w:sz w:val="22"/>
          <w:szCs w:val="22"/>
        </w:rPr>
        <w:t xml:space="preserve"> to be liable to Graphic under the performance bond</w:t>
      </w:r>
      <w:r w:rsidR="00FD2491">
        <w:rPr>
          <w:rFonts w:ascii="Calibri" w:hAnsi="Calibri" w:cs="Calibri"/>
          <w:sz w:val="22"/>
          <w:szCs w:val="22"/>
        </w:rPr>
        <w:t xml:space="preserve"> up to $2 million</w:t>
      </w:r>
      <w:r w:rsidR="00845820">
        <w:rPr>
          <w:rFonts w:ascii="Calibri" w:hAnsi="Calibri" w:cs="Calibri"/>
          <w:sz w:val="22"/>
          <w:szCs w:val="22"/>
        </w:rPr>
        <w:t xml:space="preserve"> </w:t>
      </w:r>
      <w:r w:rsidR="00800FBF">
        <w:rPr>
          <w:rFonts w:ascii="Calibri" w:hAnsi="Calibri" w:cs="Calibri"/>
          <w:sz w:val="22"/>
          <w:szCs w:val="22"/>
        </w:rPr>
        <w:t>and the balance of damages remained recoverable against 247.</w:t>
      </w:r>
    </w:p>
    <w:p w14:paraId="4E6A1419" w14:textId="596E2EB4" w:rsidR="00FD2491" w:rsidRDefault="009042C3" w:rsidP="009C424B">
      <w:pPr>
        <w:jc w:val="both"/>
        <w:rPr>
          <w:rFonts w:ascii="Calibri" w:hAnsi="Calibri" w:cs="Calibri"/>
          <w:b/>
          <w:bCs/>
          <w:sz w:val="22"/>
          <w:szCs w:val="22"/>
        </w:rPr>
      </w:pPr>
      <w:r w:rsidRPr="009042C3">
        <w:rPr>
          <w:rFonts w:ascii="Calibri" w:hAnsi="Calibri" w:cs="Calibri"/>
          <w:b/>
          <w:bCs/>
          <w:sz w:val="22"/>
          <w:szCs w:val="22"/>
        </w:rPr>
        <w:t>Analysis</w:t>
      </w:r>
    </w:p>
    <w:p w14:paraId="3B6CDEDC" w14:textId="72F99A3D" w:rsidR="00855363" w:rsidRDefault="008F1667" w:rsidP="009C424B">
      <w:pPr>
        <w:jc w:val="both"/>
        <w:rPr>
          <w:rFonts w:ascii="Calibri" w:hAnsi="Calibri" w:cs="Calibri"/>
          <w:sz w:val="22"/>
          <w:szCs w:val="22"/>
        </w:rPr>
      </w:pPr>
      <w:r>
        <w:rPr>
          <w:rFonts w:ascii="Calibri" w:hAnsi="Calibri" w:cs="Calibri"/>
          <w:sz w:val="22"/>
          <w:szCs w:val="22"/>
        </w:rPr>
        <w:t>Arguably</w:t>
      </w:r>
      <w:r w:rsidR="00703EDB">
        <w:rPr>
          <w:rFonts w:ascii="Calibri" w:hAnsi="Calibri" w:cs="Calibri"/>
          <w:sz w:val="22"/>
          <w:szCs w:val="22"/>
        </w:rPr>
        <w:t>,</w:t>
      </w:r>
      <w:r>
        <w:rPr>
          <w:rFonts w:ascii="Calibri" w:hAnsi="Calibri" w:cs="Calibri"/>
          <w:sz w:val="22"/>
          <w:szCs w:val="22"/>
        </w:rPr>
        <w:t xml:space="preserve"> </w:t>
      </w:r>
      <w:r w:rsidR="00ED76A9" w:rsidRPr="00ED76A9">
        <w:rPr>
          <w:rFonts w:ascii="Calibri" w:hAnsi="Calibri" w:cs="Calibri"/>
          <w:i/>
          <w:iCs/>
          <w:sz w:val="22"/>
          <w:szCs w:val="22"/>
        </w:rPr>
        <w:t>Graphic Packaging</w:t>
      </w:r>
      <w:r w:rsidR="00ED76A9" w:rsidRPr="00ED76A9">
        <w:rPr>
          <w:rFonts w:ascii="Calibri" w:hAnsi="Calibri" w:cs="Calibri"/>
          <w:sz w:val="22"/>
          <w:szCs w:val="22"/>
        </w:rPr>
        <w:t xml:space="preserve"> should be read carefully because it involved a bespoke</w:t>
      </w:r>
      <w:r w:rsidR="00703EDB">
        <w:rPr>
          <w:rFonts w:ascii="Calibri" w:hAnsi="Calibri" w:cs="Calibri"/>
          <w:sz w:val="22"/>
          <w:szCs w:val="22"/>
        </w:rPr>
        <w:t>,</w:t>
      </w:r>
      <w:r w:rsidR="00ED76A9" w:rsidRPr="00ED76A9">
        <w:rPr>
          <w:rFonts w:ascii="Calibri" w:hAnsi="Calibri" w:cs="Calibri"/>
          <w:sz w:val="22"/>
          <w:szCs w:val="22"/>
        </w:rPr>
        <w:t xml:space="preserve"> </w:t>
      </w:r>
      <w:r w:rsidR="00ED76A9">
        <w:rPr>
          <w:rFonts w:ascii="Calibri" w:hAnsi="Calibri" w:cs="Calibri"/>
          <w:sz w:val="22"/>
          <w:szCs w:val="22"/>
        </w:rPr>
        <w:t>non-Canadian</w:t>
      </w:r>
      <w:r w:rsidR="00ED76A9" w:rsidRPr="00ED76A9">
        <w:rPr>
          <w:rFonts w:ascii="Calibri" w:hAnsi="Calibri" w:cs="Calibri"/>
          <w:sz w:val="22"/>
          <w:szCs w:val="22"/>
        </w:rPr>
        <w:t xml:space="preserve"> bond and contains several generalized statements about surety law that may go too far. </w:t>
      </w:r>
    </w:p>
    <w:p w14:paraId="27D4260F" w14:textId="7C8EB714" w:rsidR="00703EDB" w:rsidRDefault="00855363" w:rsidP="009C424B">
      <w:pPr>
        <w:jc w:val="both"/>
        <w:rPr>
          <w:rFonts w:ascii="Calibri" w:hAnsi="Calibri" w:cs="Calibri"/>
          <w:sz w:val="22"/>
          <w:szCs w:val="22"/>
        </w:rPr>
      </w:pPr>
      <w:r>
        <w:rPr>
          <w:rFonts w:ascii="Calibri" w:hAnsi="Calibri" w:cs="Calibri"/>
          <w:sz w:val="22"/>
          <w:szCs w:val="22"/>
        </w:rPr>
        <w:t>In our view, t</w:t>
      </w:r>
      <w:r w:rsidR="00ED76A9" w:rsidRPr="00ED76A9">
        <w:rPr>
          <w:rFonts w:ascii="Calibri" w:hAnsi="Calibri" w:cs="Calibri"/>
          <w:sz w:val="22"/>
          <w:szCs w:val="22"/>
        </w:rPr>
        <w:t>hat caution is fair, but only up to a point.</w:t>
      </w:r>
      <w:r w:rsidR="00703EDB">
        <w:rPr>
          <w:rFonts w:ascii="Calibri" w:hAnsi="Calibri" w:cs="Calibri"/>
          <w:sz w:val="22"/>
          <w:szCs w:val="22"/>
        </w:rPr>
        <w:t xml:space="preserve"> T</w:t>
      </w:r>
      <w:r w:rsidR="00F00149" w:rsidRPr="00F00149">
        <w:rPr>
          <w:rFonts w:ascii="Calibri" w:hAnsi="Calibri" w:cs="Calibri"/>
          <w:sz w:val="22"/>
          <w:szCs w:val="22"/>
        </w:rPr>
        <w:t xml:space="preserve">he decision should not be read as holding that a surety has no meaningful right to request information or documents unless the bond expressly grants one. </w:t>
      </w:r>
    </w:p>
    <w:p w14:paraId="37B85D1F" w14:textId="0602B321" w:rsidR="00855363" w:rsidRDefault="00F00149" w:rsidP="009C424B">
      <w:pPr>
        <w:jc w:val="both"/>
        <w:rPr>
          <w:rFonts w:ascii="Calibri" w:hAnsi="Calibri" w:cs="Calibri"/>
          <w:sz w:val="22"/>
          <w:szCs w:val="22"/>
        </w:rPr>
      </w:pPr>
      <w:r w:rsidRPr="00F00149">
        <w:rPr>
          <w:rFonts w:ascii="Calibri" w:hAnsi="Calibri" w:cs="Calibri"/>
          <w:sz w:val="22"/>
          <w:szCs w:val="22"/>
        </w:rPr>
        <w:t xml:space="preserve">Read broadly, some passages of the judgment could be taken that way, and that would sit uneasily with established surety practice. But the better reading of the case is narrower. The real problem was not that </w:t>
      </w:r>
      <w:r w:rsidR="00985F6D">
        <w:rPr>
          <w:rFonts w:ascii="Calibri" w:hAnsi="Calibri" w:cs="Calibri"/>
          <w:sz w:val="22"/>
          <w:szCs w:val="22"/>
        </w:rPr>
        <w:t>Talisman</w:t>
      </w:r>
      <w:r w:rsidRPr="00F00149">
        <w:rPr>
          <w:rFonts w:ascii="Calibri" w:hAnsi="Calibri" w:cs="Calibri"/>
          <w:sz w:val="22"/>
          <w:szCs w:val="22"/>
        </w:rPr>
        <w:t xml:space="preserve"> investigated</w:t>
      </w:r>
      <w:r w:rsidR="00703EDB">
        <w:rPr>
          <w:rFonts w:ascii="Calibri" w:hAnsi="Calibri" w:cs="Calibri"/>
          <w:sz w:val="22"/>
          <w:szCs w:val="22"/>
        </w:rPr>
        <w:t>;</w:t>
      </w:r>
      <w:r w:rsidRPr="00F00149">
        <w:rPr>
          <w:rFonts w:ascii="Calibri" w:hAnsi="Calibri" w:cs="Calibri"/>
          <w:sz w:val="22"/>
          <w:szCs w:val="22"/>
        </w:rPr>
        <w:t xml:space="preserve"> </w:t>
      </w:r>
      <w:r w:rsidR="00703EDB">
        <w:rPr>
          <w:rFonts w:ascii="Calibri" w:hAnsi="Calibri" w:cs="Calibri"/>
          <w:sz w:val="22"/>
          <w:szCs w:val="22"/>
        </w:rPr>
        <w:t>t</w:t>
      </w:r>
      <w:r w:rsidRPr="00F00149">
        <w:rPr>
          <w:rFonts w:ascii="Calibri" w:hAnsi="Calibri" w:cs="Calibri"/>
          <w:sz w:val="22"/>
          <w:szCs w:val="22"/>
        </w:rPr>
        <w:t xml:space="preserve">he problem was that the court viewed the </w:t>
      </w:r>
      <w:r w:rsidR="00176343">
        <w:rPr>
          <w:rFonts w:ascii="Calibri" w:hAnsi="Calibri" w:cs="Calibri"/>
          <w:sz w:val="22"/>
          <w:szCs w:val="22"/>
        </w:rPr>
        <w:t xml:space="preserve">investigation as inadequate. The surety’s investigation amounted to a </w:t>
      </w:r>
      <w:r w:rsidRPr="00F00149">
        <w:rPr>
          <w:rFonts w:ascii="Calibri" w:hAnsi="Calibri" w:cs="Calibri"/>
          <w:sz w:val="22"/>
          <w:szCs w:val="22"/>
        </w:rPr>
        <w:t xml:space="preserve">request </w:t>
      </w:r>
      <w:r w:rsidR="00176343">
        <w:rPr>
          <w:rFonts w:ascii="Calibri" w:hAnsi="Calibri" w:cs="Calibri"/>
          <w:sz w:val="22"/>
          <w:szCs w:val="22"/>
        </w:rPr>
        <w:t xml:space="preserve">for documents that the court found </w:t>
      </w:r>
      <w:r w:rsidR="00703EDB">
        <w:rPr>
          <w:rFonts w:ascii="Calibri" w:hAnsi="Calibri" w:cs="Calibri"/>
          <w:sz w:val="22"/>
          <w:szCs w:val="22"/>
        </w:rPr>
        <w:t>to be</w:t>
      </w:r>
      <w:r w:rsidR="00703EDB" w:rsidRPr="00F00149">
        <w:rPr>
          <w:rFonts w:ascii="Calibri" w:hAnsi="Calibri" w:cs="Calibri"/>
          <w:sz w:val="22"/>
          <w:szCs w:val="22"/>
        </w:rPr>
        <w:t xml:space="preserve"> </w:t>
      </w:r>
      <w:r w:rsidRPr="00F00149">
        <w:rPr>
          <w:rFonts w:ascii="Calibri" w:hAnsi="Calibri" w:cs="Calibri"/>
          <w:sz w:val="22"/>
          <w:szCs w:val="22"/>
        </w:rPr>
        <w:t xml:space="preserve">overbroad, largely </w:t>
      </w:r>
      <w:r w:rsidRPr="00F00149">
        <w:rPr>
          <w:rFonts w:ascii="Calibri" w:hAnsi="Calibri" w:cs="Calibri"/>
          <w:sz w:val="22"/>
          <w:szCs w:val="22"/>
        </w:rPr>
        <w:lastRenderedPageBreak/>
        <w:t>irrelevant, and deployed in place of meaningful action while the obligee was under mounting regulatory pressure. On that narrower reading, the criticism is fair as a doctrinal caution, but it does not undercut the result on these facts.</w:t>
      </w:r>
    </w:p>
    <w:p w14:paraId="4974578D" w14:textId="69EFFA5B" w:rsidR="00E82D19" w:rsidRDefault="00E82D19" w:rsidP="009C424B">
      <w:pPr>
        <w:jc w:val="both"/>
        <w:rPr>
          <w:rFonts w:ascii="Calibri" w:hAnsi="Calibri" w:cs="Calibri"/>
          <w:sz w:val="22"/>
          <w:szCs w:val="22"/>
        </w:rPr>
      </w:pPr>
      <w:r>
        <w:rPr>
          <w:rFonts w:ascii="Calibri" w:hAnsi="Calibri" w:cs="Calibri"/>
          <w:sz w:val="22"/>
          <w:szCs w:val="22"/>
        </w:rPr>
        <w:t>Likewise, a</w:t>
      </w:r>
      <w:r w:rsidRPr="00E82D19">
        <w:rPr>
          <w:rFonts w:ascii="Calibri" w:hAnsi="Calibri" w:cs="Calibri"/>
          <w:sz w:val="22"/>
          <w:szCs w:val="22"/>
        </w:rPr>
        <w:t xml:space="preserve">s a general proposition, it is too broad to say that giving the contractor more time </w:t>
      </w:r>
      <w:r w:rsidR="00CD454E">
        <w:rPr>
          <w:rFonts w:ascii="Calibri" w:hAnsi="Calibri" w:cs="Calibri"/>
          <w:sz w:val="22"/>
          <w:szCs w:val="22"/>
        </w:rPr>
        <w:t>“</w:t>
      </w:r>
      <w:r w:rsidRPr="00E82D19">
        <w:rPr>
          <w:rFonts w:ascii="Calibri" w:hAnsi="Calibri" w:cs="Calibri"/>
          <w:sz w:val="22"/>
          <w:szCs w:val="22"/>
        </w:rPr>
        <w:t>cannot</w:t>
      </w:r>
      <w:r w:rsidR="00CD454E">
        <w:rPr>
          <w:rFonts w:ascii="Calibri" w:hAnsi="Calibri" w:cs="Calibri"/>
          <w:sz w:val="22"/>
          <w:szCs w:val="22"/>
        </w:rPr>
        <w:t>”</w:t>
      </w:r>
      <w:r w:rsidRPr="00E82D19">
        <w:rPr>
          <w:rFonts w:ascii="Calibri" w:hAnsi="Calibri" w:cs="Calibri"/>
          <w:sz w:val="22"/>
          <w:szCs w:val="22"/>
        </w:rPr>
        <w:t xml:space="preserve"> prejudice a surety. In some cases, extensions or indulgences may materially alter the surety’s risk. The safer reading is that, on these facts, the indulgences given to 247 did not prejudice </w:t>
      </w:r>
      <w:r w:rsidR="00985F6D">
        <w:rPr>
          <w:rFonts w:ascii="Calibri" w:hAnsi="Calibri" w:cs="Calibri"/>
          <w:sz w:val="22"/>
          <w:szCs w:val="22"/>
        </w:rPr>
        <w:t>Talisman</w:t>
      </w:r>
      <w:r w:rsidRPr="00E82D19">
        <w:rPr>
          <w:rFonts w:ascii="Calibri" w:hAnsi="Calibri" w:cs="Calibri"/>
          <w:sz w:val="22"/>
          <w:szCs w:val="22"/>
        </w:rPr>
        <w:t xml:space="preserve"> because 247 was already in obvious default, </w:t>
      </w:r>
      <w:r w:rsidR="00985F6D">
        <w:rPr>
          <w:rFonts w:ascii="Calibri" w:hAnsi="Calibri" w:cs="Calibri"/>
          <w:sz w:val="22"/>
          <w:szCs w:val="22"/>
        </w:rPr>
        <w:t>Talisman</w:t>
      </w:r>
      <w:r w:rsidRPr="00E82D19">
        <w:rPr>
          <w:rFonts w:ascii="Calibri" w:hAnsi="Calibri" w:cs="Calibri"/>
          <w:sz w:val="22"/>
          <w:szCs w:val="22"/>
        </w:rPr>
        <w:t xml:space="preserve"> had early notice of that default, and the extra time simply gave the contractor another chance to do what it should have done from the outset.</w:t>
      </w:r>
    </w:p>
    <w:p w14:paraId="31932D95" w14:textId="77777777" w:rsidR="00703EDB" w:rsidRDefault="004F4829" w:rsidP="009C424B">
      <w:pPr>
        <w:jc w:val="both"/>
        <w:rPr>
          <w:rFonts w:ascii="Calibri" w:hAnsi="Calibri" w:cs="Calibri"/>
          <w:sz w:val="22"/>
          <w:szCs w:val="22"/>
        </w:rPr>
      </w:pPr>
      <w:r>
        <w:rPr>
          <w:rFonts w:ascii="Calibri" w:hAnsi="Calibri" w:cs="Calibri"/>
          <w:sz w:val="22"/>
          <w:szCs w:val="22"/>
        </w:rPr>
        <w:t xml:space="preserve">Such </w:t>
      </w:r>
      <w:r w:rsidRPr="004F4829">
        <w:rPr>
          <w:rFonts w:ascii="Calibri" w:hAnsi="Calibri" w:cs="Calibri"/>
          <w:sz w:val="22"/>
          <w:szCs w:val="22"/>
        </w:rPr>
        <w:t xml:space="preserve">critiques are fair as cautions against overreading the judgment, but not fair if they are taken to diminish the force of the decision on its facts. This was not a marginal case. The contractor had not delivered the required scope of work, had not completed the demolition, and had not meaningfully started the work within the contractual timeframe. </w:t>
      </w:r>
      <w:r w:rsidR="00985F6D">
        <w:rPr>
          <w:rFonts w:ascii="Calibri" w:hAnsi="Calibri" w:cs="Calibri"/>
          <w:sz w:val="22"/>
          <w:szCs w:val="22"/>
        </w:rPr>
        <w:t>Talisman</w:t>
      </w:r>
      <w:r w:rsidRPr="004F4829">
        <w:rPr>
          <w:rFonts w:ascii="Calibri" w:hAnsi="Calibri" w:cs="Calibri"/>
          <w:sz w:val="22"/>
          <w:szCs w:val="22"/>
        </w:rPr>
        <w:t xml:space="preserve"> received repeated notices, did not respond to the requested conference, made an overbroad document demand, advanced a late and unsuccessful owner-default theory, and ultimately denied liability on grounds the court found unpersuasive.</w:t>
      </w:r>
      <w:r w:rsidR="00176343">
        <w:rPr>
          <w:rFonts w:ascii="Calibri" w:hAnsi="Calibri" w:cs="Calibri"/>
          <w:sz w:val="22"/>
          <w:szCs w:val="22"/>
        </w:rPr>
        <w:t xml:space="preserve"> </w:t>
      </w:r>
    </w:p>
    <w:p w14:paraId="1BBE87FA" w14:textId="6B4783AB" w:rsidR="004F4829" w:rsidRDefault="00176343" w:rsidP="009C424B">
      <w:pPr>
        <w:jc w:val="both"/>
        <w:rPr>
          <w:rFonts w:ascii="Calibri" w:hAnsi="Calibri" w:cs="Calibri"/>
          <w:sz w:val="22"/>
          <w:szCs w:val="22"/>
        </w:rPr>
      </w:pPr>
      <w:r w:rsidRPr="00682AA6">
        <w:rPr>
          <w:rFonts w:ascii="Calibri" w:hAnsi="Calibri" w:cs="Calibri"/>
          <w:i/>
          <w:iCs/>
          <w:sz w:val="22"/>
          <w:szCs w:val="22"/>
        </w:rPr>
        <w:t>Graphic Packaging</w:t>
      </w:r>
      <w:r>
        <w:rPr>
          <w:rFonts w:ascii="Calibri" w:hAnsi="Calibri" w:cs="Calibri"/>
          <w:sz w:val="22"/>
          <w:szCs w:val="22"/>
        </w:rPr>
        <w:t xml:space="preserve"> </w:t>
      </w:r>
      <w:r w:rsidR="008F1667">
        <w:rPr>
          <w:rFonts w:ascii="Calibri" w:hAnsi="Calibri" w:cs="Calibri"/>
          <w:sz w:val="22"/>
          <w:szCs w:val="22"/>
        </w:rPr>
        <w:t>stands on its facts but should be read with caution considering some of those facts are unique</w:t>
      </w:r>
      <w:r w:rsidR="004F4829" w:rsidRPr="004F4829">
        <w:rPr>
          <w:rFonts w:ascii="Calibri" w:hAnsi="Calibri" w:cs="Calibri"/>
          <w:sz w:val="22"/>
          <w:szCs w:val="22"/>
        </w:rPr>
        <w:t>.</w:t>
      </w:r>
      <w:r>
        <w:rPr>
          <w:rFonts w:ascii="Calibri" w:hAnsi="Calibri" w:cs="Calibri"/>
          <w:sz w:val="22"/>
          <w:szCs w:val="22"/>
        </w:rPr>
        <w:t xml:space="preserve"> With that qualification, sureties would do well to ensure that a timely, targeted and meaningful investigation is undertaken, and </w:t>
      </w:r>
      <w:r w:rsidR="006A7652">
        <w:rPr>
          <w:rFonts w:ascii="Calibri" w:hAnsi="Calibri" w:cs="Calibri"/>
          <w:sz w:val="22"/>
          <w:szCs w:val="22"/>
        </w:rPr>
        <w:t>avoid t</w:t>
      </w:r>
      <w:r>
        <w:rPr>
          <w:rFonts w:ascii="Calibri" w:hAnsi="Calibri" w:cs="Calibri"/>
          <w:sz w:val="22"/>
          <w:szCs w:val="22"/>
        </w:rPr>
        <w:t>he “snowblower” approach.</w:t>
      </w:r>
    </w:p>
    <w:p w14:paraId="402CD2BD" w14:textId="77777777" w:rsidR="000E0416" w:rsidRPr="008A6707" w:rsidRDefault="000E0416" w:rsidP="009C424B">
      <w:pPr>
        <w:jc w:val="both"/>
        <w:rPr>
          <w:rFonts w:ascii="Calibri" w:hAnsi="Calibri" w:cs="Calibri"/>
          <w:sz w:val="22"/>
          <w:szCs w:val="22"/>
        </w:rPr>
      </w:pPr>
    </w:p>
    <w:sectPr w:rsidR="000E0416" w:rsidRPr="008A6707" w:rsidSect="003D68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3B42F" w14:textId="77777777" w:rsidR="00FD32B0" w:rsidRDefault="00FD32B0" w:rsidP="003A703B">
      <w:pPr>
        <w:spacing w:after="0" w:line="240" w:lineRule="auto"/>
      </w:pPr>
      <w:r>
        <w:separator/>
      </w:r>
    </w:p>
  </w:endnote>
  <w:endnote w:type="continuationSeparator" w:id="0">
    <w:p w14:paraId="5D6DAD82" w14:textId="77777777" w:rsidR="00FD32B0" w:rsidRDefault="00FD32B0" w:rsidP="003A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FEC14" w14:textId="77777777" w:rsidR="00FD32B0" w:rsidRDefault="00FD32B0" w:rsidP="003A703B">
      <w:pPr>
        <w:spacing w:after="0" w:line="240" w:lineRule="auto"/>
      </w:pPr>
      <w:r>
        <w:separator/>
      </w:r>
    </w:p>
  </w:footnote>
  <w:footnote w:type="continuationSeparator" w:id="0">
    <w:p w14:paraId="1ED36E64" w14:textId="77777777" w:rsidR="00FD32B0" w:rsidRDefault="00FD32B0" w:rsidP="003A7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628F7"/>
    <w:multiLevelType w:val="multilevel"/>
    <w:tmpl w:val="D0BC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910819"/>
    <w:multiLevelType w:val="multilevel"/>
    <w:tmpl w:val="A70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9662C3"/>
    <w:multiLevelType w:val="hybridMultilevel"/>
    <w:tmpl w:val="7F16F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120388">
    <w:abstractNumId w:val="0"/>
  </w:num>
  <w:num w:numId="2" w16cid:durableId="1001081752">
    <w:abstractNumId w:val="1"/>
  </w:num>
  <w:num w:numId="3" w16cid:durableId="1484808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8B"/>
    <w:rsid w:val="00002E0A"/>
    <w:rsid w:val="000078F2"/>
    <w:rsid w:val="000157E3"/>
    <w:rsid w:val="000647AC"/>
    <w:rsid w:val="0006577B"/>
    <w:rsid w:val="00081D85"/>
    <w:rsid w:val="0008661F"/>
    <w:rsid w:val="00093DE0"/>
    <w:rsid w:val="000C062D"/>
    <w:rsid w:val="000D585B"/>
    <w:rsid w:val="000E0416"/>
    <w:rsid w:val="00105FC3"/>
    <w:rsid w:val="00123041"/>
    <w:rsid w:val="00173B8D"/>
    <w:rsid w:val="00176343"/>
    <w:rsid w:val="001A12DA"/>
    <w:rsid w:val="001C3D20"/>
    <w:rsid w:val="001D56BB"/>
    <w:rsid w:val="001F164C"/>
    <w:rsid w:val="00211907"/>
    <w:rsid w:val="00217FCA"/>
    <w:rsid w:val="00234062"/>
    <w:rsid w:val="00241D38"/>
    <w:rsid w:val="0027619A"/>
    <w:rsid w:val="00291AD2"/>
    <w:rsid w:val="0029292E"/>
    <w:rsid w:val="0029767E"/>
    <w:rsid w:val="002A7DDA"/>
    <w:rsid w:val="003216A4"/>
    <w:rsid w:val="00341E0E"/>
    <w:rsid w:val="0036501F"/>
    <w:rsid w:val="003735C5"/>
    <w:rsid w:val="0037468B"/>
    <w:rsid w:val="00375281"/>
    <w:rsid w:val="00380129"/>
    <w:rsid w:val="00380730"/>
    <w:rsid w:val="003A703B"/>
    <w:rsid w:val="003B06F2"/>
    <w:rsid w:val="003D6853"/>
    <w:rsid w:val="003E0ED8"/>
    <w:rsid w:val="003F1074"/>
    <w:rsid w:val="003F3CEB"/>
    <w:rsid w:val="003F5025"/>
    <w:rsid w:val="003F52F0"/>
    <w:rsid w:val="004023FF"/>
    <w:rsid w:val="00404DBD"/>
    <w:rsid w:val="00425B8B"/>
    <w:rsid w:val="00425EFB"/>
    <w:rsid w:val="00426B70"/>
    <w:rsid w:val="004336EA"/>
    <w:rsid w:val="00440D4C"/>
    <w:rsid w:val="004468DE"/>
    <w:rsid w:val="00464F40"/>
    <w:rsid w:val="0047330A"/>
    <w:rsid w:val="004759BD"/>
    <w:rsid w:val="004B0A12"/>
    <w:rsid w:val="004B7496"/>
    <w:rsid w:val="004F4829"/>
    <w:rsid w:val="00502685"/>
    <w:rsid w:val="00504370"/>
    <w:rsid w:val="00504CBE"/>
    <w:rsid w:val="00507153"/>
    <w:rsid w:val="00514FE7"/>
    <w:rsid w:val="00521901"/>
    <w:rsid w:val="005240B2"/>
    <w:rsid w:val="00526948"/>
    <w:rsid w:val="00531757"/>
    <w:rsid w:val="00544750"/>
    <w:rsid w:val="00545793"/>
    <w:rsid w:val="005610B1"/>
    <w:rsid w:val="00585DF0"/>
    <w:rsid w:val="00590F4E"/>
    <w:rsid w:val="005A0B5D"/>
    <w:rsid w:val="005B6C97"/>
    <w:rsid w:val="005C4BBC"/>
    <w:rsid w:val="005D6B5C"/>
    <w:rsid w:val="005E14B8"/>
    <w:rsid w:val="005F1C8B"/>
    <w:rsid w:val="006008CB"/>
    <w:rsid w:val="00622C97"/>
    <w:rsid w:val="006246C4"/>
    <w:rsid w:val="00680E2D"/>
    <w:rsid w:val="00682AA6"/>
    <w:rsid w:val="006A7652"/>
    <w:rsid w:val="006D45BB"/>
    <w:rsid w:val="006E2E12"/>
    <w:rsid w:val="00703EDB"/>
    <w:rsid w:val="00713350"/>
    <w:rsid w:val="0072100E"/>
    <w:rsid w:val="007258A2"/>
    <w:rsid w:val="007359F8"/>
    <w:rsid w:val="00735B38"/>
    <w:rsid w:val="007414E0"/>
    <w:rsid w:val="00780DAD"/>
    <w:rsid w:val="007843CD"/>
    <w:rsid w:val="007A7143"/>
    <w:rsid w:val="007B17C4"/>
    <w:rsid w:val="007C522D"/>
    <w:rsid w:val="007F4B7A"/>
    <w:rsid w:val="00800FBF"/>
    <w:rsid w:val="008242AF"/>
    <w:rsid w:val="00845820"/>
    <w:rsid w:val="00853BB5"/>
    <w:rsid w:val="00855363"/>
    <w:rsid w:val="00861372"/>
    <w:rsid w:val="00873CBF"/>
    <w:rsid w:val="00890195"/>
    <w:rsid w:val="00894076"/>
    <w:rsid w:val="00894195"/>
    <w:rsid w:val="00897FFB"/>
    <w:rsid w:val="008A2B1B"/>
    <w:rsid w:val="008A6707"/>
    <w:rsid w:val="008C1C3D"/>
    <w:rsid w:val="008F1667"/>
    <w:rsid w:val="008F2EC2"/>
    <w:rsid w:val="009042C3"/>
    <w:rsid w:val="00905BC8"/>
    <w:rsid w:val="009273D3"/>
    <w:rsid w:val="009461B9"/>
    <w:rsid w:val="00957D4A"/>
    <w:rsid w:val="00973EA4"/>
    <w:rsid w:val="00977836"/>
    <w:rsid w:val="00985F6D"/>
    <w:rsid w:val="00987E63"/>
    <w:rsid w:val="009B16D8"/>
    <w:rsid w:val="009B5302"/>
    <w:rsid w:val="009C3D98"/>
    <w:rsid w:val="009C424B"/>
    <w:rsid w:val="009D295A"/>
    <w:rsid w:val="009D642F"/>
    <w:rsid w:val="009F3184"/>
    <w:rsid w:val="00A57C4D"/>
    <w:rsid w:val="00A70C1F"/>
    <w:rsid w:val="00AB0DAC"/>
    <w:rsid w:val="00AD17B6"/>
    <w:rsid w:val="00AE27DA"/>
    <w:rsid w:val="00AE5E0A"/>
    <w:rsid w:val="00AF282F"/>
    <w:rsid w:val="00B0535F"/>
    <w:rsid w:val="00B17EF2"/>
    <w:rsid w:val="00B23CD7"/>
    <w:rsid w:val="00B2776E"/>
    <w:rsid w:val="00B3307F"/>
    <w:rsid w:val="00B635E7"/>
    <w:rsid w:val="00B64A3A"/>
    <w:rsid w:val="00B67A9A"/>
    <w:rsid w:val="00B87F79"/>
    <w:rsid w:val="00BA5541"/>
    <w:rsid w:val="00BD0A76"/>
    <w:rsid w:val="00BF0A2D"/>
    <w:rsid w:val="00C10B66"/>
    <w:rsid w:val="00C25F4F"/>
    <w:rsid w:val="00C33C29"/>
    <w:rsid w:val="00C41B99"/>
    <w:rsid w:val="00C462C6"/>
    <w:rsid w:val="00C51CF7"/>
    <w:rsid w:val="00C9189A"/>
    <w:rsid w:val="00C97B42"/>
    <w:rsid w:val="00CA172D"/>
    <w:rsid w:val="00CA337C"/>
    <w:rsid w:val="00CA4739"/>
    <w:rsid w:val="00CA7A11"/>
    <w:rsid w:val="00CB7BFC"/>
    <w:rsid w:val="00CD454E"/>
    <w:rsid w:val="00CE372A"/>
    <w:rsid w:val="00D55EBF"/>
    <w:rsid w:val="00D64402"/>
    <w:rsid w:val="00D809AB"/>
    <w:rsid w:val="00D94C83"/>
    <w:rsid w:val="00DD2FA2"/>
    <w:rsid w:val="00DE0474"/>
    <w:rsid w:val="00E014BE"/>
    <w:rsid w:val="00E169D7"/>
    <w:rsid w:val="00E24319"/>
    <w:rsid w:val="00E361C1"/>
    <w:rsid w:val="00E40234"/>
    <w:rsid w:val="00E40EFC"/>
    <w:rsid w:val="00E41DCB"/>
    <w:rsid w:val="00E44485"/>
    <w:rsid w:val="00E62B94"/>
    <w:rsid w:val="00E75D22"/>
    <w:rsid w:val="00E82D19"/>
    <w:rsid w:val="00E8606D"/>
    <w:rsid w:val="00E94C79"/>
    <w:rsid w:val="00EA7C05"/>
    <w:rsid w:val="00EB2729"/>
    <w:rsid w:val="00ED0E93"/>
    <w:rsid w:val="00ED76A9"/>
    <w:rsid w:val="00EE5A9A"/>
    <w:rsid w:val="00F00149"/>
    <w:rsid w:val="00F025FE"/>
    <w:rsid w:val="00F2094F"/>
    <w:rsid w:val="00F52729"/>
    <w:rsid w:val="00F54952"/>
    <w:rsid w:val="00F73AC3"/>
    <w:rsid w:val="00F85F3A"/>
    <w:rsid w:val="00FA17A3"/>
    <w:rsid w:val="00FA2744"/>
    <w:rsid w:val="00FA6293"/>
    <w:rsid w:val="00FA63E3"/>
    <w:rsid w:val="00FD2491"/>
    <w:rsid w:val="00FD32B0"/>
    <w:rsid w:val="00FE4EDA"/>
    <w:rsid w:val="00FF3201"/>
    <w:rsid w:val="00FF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D52E"/>
  <w15:chartTrackingRefBased/>
  <w15:docId w15:val="{BFF70AE2-F027-4B42-8375-9269726C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5F1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F1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1C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1C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1C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1C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C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C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C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C8B"/>
    <w:rPr>
      <w:rFonts w:asciiTheme="majorHAnsi" w:eastAsiaTheme="majorEastAsia" w:hAnsiTheme="majorHAnsi" w:cstheme="majorBidi"/>
      <w:color w:val="0F4761" w:themeColor="accent1" w:themeShade="BF"/>
      <w:sz w:val="40"/>
      <w:szCs w:val="40"/>
      <w:lang w:val="en-CA"/>
    </w:rPr>
  </w:style>
  <w:style w:type="character" w:customStyle="1" w:styleId="Heading2Char">
    <w:name w:val="Heading 2 Char"/>
    <w:basedOn w:val="DefaultParagraphFont"/>
    <w:link w:val="Heading2"/>
    <w:uiPriority w:val="9"/>
    <w:rsid w:val="005F1C8B"/>
    <w:rPr>
      <w:rFonts w:asciiTheme="majorHAnsi" w:eastAsiaTheme="majorEastAsia" w:hAnsiTheme="majorHAnsi" w:cstheme="majorBidi"/>
      <w:color w:val="0F4761" w:themeColor="accent1" w:themeShade="BF"/>
      <w:sz w:val="32"/>
      <w:szCs w:val="32"/>
      <w:lang w:val="en-CA"/>
    </w:rPr>
  </w:style>
  <w:style w:type="character" w:customStyle="1" w:styleId="Heading3Char">
    <w:name w:val="Heading 3 Char"/>
    <w:basedOn w:val="DefaultParagraphFont"/>
    <w:link w:val="Heading3"/>
    <w:uiPriority w:val="9"/>
    <w:semiHidden/>
    <w:rsid w:val="005F1C8B"/>
    <w:rPr>
      <w:rFonts w:eastAsiaTheme="majorEastAsia" w:cstheme="majorBidi"/>
      <w:color w:val="0F4761" w:themeColor="accent1" w:themeShade="BF"/>
      <w:sz w:val="28"/>
      <w:szCs w:val="28"/>
      <w:lang w:val="en-CA"/>
    </w:rPr>
  </w:style>
  <w:style w:type="character" w:customStyle="1" w:styleId="Heading4Char">
    <w:name w:val="Heading 4 Char"/>
    <w:basedOn w:val="DefaultParagraphFont"/>
    <w:link w:val="Heading4"/>
    <w:uiPriority w:val="9"/>
    <w:semiHidden/>
    <w:rsid w:val="005F1C8B"/>
    <w:rPr>
      <w:rFonts w:eastAsiaTheme="majorEastAsia" w:cstheme="majorBidi"/>
      <w:i/>
      <w:iCs/>
      <w:color w:val="0F4761" w:themeColor="accent1" w:themeShade="BF"/>
      <w:lang w:val="en-CA"/>
    </w:rPr>
  </w:style>
  <w:style w:type="character" w:customStyle="1" w:styleId="Heading5Char">
    <w:name w:val="Heading 5 Char"/>
    <w:basedOn w:val="DefaultParagraphFont"/>
    <w:link w:val="Heading5"/>
    <w:uiPriority w:val="9"/>
    <w:semiHidden/>
    <w:rsid w:val="005F1C8B"/>
    <w:rPr>
      <w:rFonts w:eastAsiaTheme="majorEastAsia" w:cstheme="majorBidi"/>
      <w:color w:val="0F4761" w:themeColor="accent1" w:themeShade="BF"/>
      <w:lang w:val="en-CA"/>
    </w:rPr>
  </w:style>
  <w:style w:type="character" w:customStyle="1" w:styleId="Heading6Char">
    <w:name w:val="Heading 6 Char"/>
    <w:basedOn w:val="DefaultParagraphFont"/>
    <w:link w:val="Heading6"/>
    <w:uiPriority w:val="9"/>
    <w:semiHidden/>
    <w:rsid w:val="005F1C8B"/>
    <w:rPr>
      <w:rFonts w:eastAsiaTheme="majorEastAsia" w:cstheme="majorBidi"/>
      <w:i/>
      <w:iCs/>
      <w:color w:val="595959" w:themeColor="text1" w:themeTint="A6"/>
      <w:lang w:val="en-CA"/>
    </w:rPr>
  </w:style>
  <w:style w:type="character" w:customStyle="1" w:styleId="Heading7Char">
    <w:name w:val="Heading 7 Char"/>
    <w:basedOn w:val="DefaultParagraphFont"/>
    <w:link w:val="Heading7"/>
    <w:uiPriority w:val="9"/>
    <w:semiHidden/>
    <w:rsid w:val="005F1C8B"/>
    <w:rPr>
      <w:rFonts w:eastAsiaTheme="majorEastAsia" w:cstheme="majorBidi"/>
      <w:color w:val="595959" w:themeColor="text1" w:themeTint="A6"/>
      <w:lang w:val="en-CA"/>
    </w:rPr>
  </w:style>
  <w:style w:type="character" w:customStyle="1" w:styleId="Heading8Char">
    <w:name w:val="Heading 8 Char"/>
    <w:basedOn w:val="DefaultParagraphFont"/>
    <w:link w:val="Heading8"/>
    <w:uiPriority w:val="9"/>
    <w:semiHidden/>
    <w:rsid w:val="005F1C8B"/>
    <w:rPr>
      <w:rFonts w:eastAsiaTheme="majorEastAsia" w:cstheme="majorBidi"/>
      <w:i/>
      <w:iCs/>
      <w:color w:val="272727" w:themeColor="text1" w:themeTint="D8"/>
      <w:lang w:val="en-CA"/>
    </w:rPr>
  </w:style>
  <w:style w:type="character" w:customStyle="1" w:styleId="Heading9Char">
    <w:name w:val="Heading 9 Char"/>
    <w:basedOn w:val="DefaultParagraphFont"/>
    <w:link w:val="Heading9"/>
    <w:uiPriority w:val="9"/>
    <w:semiHidden/>
    <w:rsid w:val="005F1C8B"/>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5F1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C8B"/>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5F1C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C8B"/>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5F1C8B"/>
    <w:pPr>
      <w:spacing w:before="160"/>
      <w:jc w:val="center"/>
    </w:pPr>
    <w:rPr>
      <w:i/>
      <w:iCs/>
      <w:color w:val="404040" w:themeColor="text1" w:themeTint="BF"/>
    </w:rPr>
  </w:style>
  <w:style w:type="character" w:customStyle="1" w:styleId="QuoteChar">
    <w:name w:val="Quote Char"/>
    <w:basedOn w:val="DefaultParagraphFont"/>
    <w:link w:val="Quote"/>
    <w:uiPriority w:val="29"/>
    <w:rsid w:val="005F1C8B"/>
    <w:rPr>
      <w:i/>
      <w:iCs/>
      <w:color w:val="404040" w:themeColor="text1" w:themeTint="BF"/>
      <w:lang w:val="en-CA"/>
    </w:rPr>
  </w:style>
  <w:style w:type="paragraph" w:styleId="ListParagraph">
    <w:name w:val="List Paragraph"/>
    <w:basedOn w:val="Normal"/>
    <w:uiPriority w:val="34"/>
    <w:qFormat/>
    <w:rsid w:val="005F1C8B"/>
    <w:pPr>
      <w:ind w:left="720"/>
      <w:contextualSpacing/>
    </w:pPr>
  </w:style>
  <w:style w:type="character" w:styleId="IntenseEmphasis">
    <w:name w:val="Intense Emphasis"/>
    <w:basedOn w:val="DefaultParagraphFont"/>
    <w:uiPriority w:val="21"/>
    <w:qFormat/>
    <w:rsid w:val="005F1C8B"/>
    <w:rPr>
      <w:i/>
      <w:iCs/>
      <w:color w:val="0F4761" w:themeColor="accent1" w:themeShade="BF"/>
    </w:rPr>
  </w:style>
  <w:style w:type="paragraph" w:styleId="IntenseQuote">
    <w:name w:val="Intense Quote"/>
    <w:basedOn w:val="Normal"/>
    <w:next w:val="Normal"/>
    <w:link w:val="IntenseQuoteChar"/>
    <w:uiPriority w:val="30"/>
    <w:qFormat/>
    <w:rsid w:val="005F1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1C8B"/>
    <w:rPr>
      <w:i/>
      <w:iCs/>
      <w:color w:val="0F4761" w:themeColor="accent1" w:themeShade="BF"/>
      <w:lang w:val="en-CA"/>
    </w:rPr>
  </w:style>
  <w:style w:type="character" w:styleId="IntenseReference">
    <w:name w:val="Intense Reference"/>
    <w:basedOn w:val="DefaultParagraphFont"/>
    <w:uiPriority w:val="32"/>
    <w:qFormat/>
    <w:rsid w:val="005F1C8B"/>
    <w:rPr>
      <w:b/>
      <w:bCs/>
      <w:smallCaps/>
      <w:color w:val="0F4761" w:themeColor="accent1" w:themeShade="BF"/>
      <w:spacing w:val="5"/>
    </w:rPr>
  </w:style>
  <w:style w:type="character" w:styleId="CommentReference">
    <w:name w:val="annotation reference"/>
    <w:basedOn w:val="DefaultParagraphFont"/>
    <w:uiPriority w:val="99"/>
    <w:semiHidden/>
    <w:unhideWhenUsed/>
    <w:rsid w:val="00CE372A"/>
    <w:rPr>
      <w:sz w:val="16"/>
      <w:szCs w:val="16"/>
    </w:rPr>
  </w:style>
  <w:style w:type="paragraph" w:styleId="CommentText">
    <w:name w:val="annotation text"/>
    <w:basedOn w:val="Normal"/>
    <w:link w:val="CommentTextChar"/>
    <w:uiPriority w:val="99"/>
    <w:unhideWhenUsed/>
    <w:rsid w:val="00CE372A"/>
    <w:pPr>
      <w:spacing w:line="240" w:lineRule="auto"/>
    </w:pPr>
    <w:rPr>
      <w:sz w:val="20"/>
      <w:szCs w:val="20"/>
    </w:rPr>
  </w:style>
  <w:style w:type="character" w:customStyle="1" w:styleId="CommentTextChar">
    <w:name w:val="Comment Text Char"/>
    <w:basedOn w:val="DefaultParagraphFont"/>
    <w:link w:val="CommentText"/>
    <w:uiPriority w:val="99"/>
    <w:rsid w:val="00CE372A"/>
    <w:rPr>
      <w:sz w:val="20"/>
      <w:szCs w:val="20"/>
      <w:lang w:val="en-CA"/>
    </w:rPr>
  </w:style>
  <w:style w:type="paragraph" w:styleId="CommentSubject">
    <w:name w:val="annotation subject"/>
    <w:basedOn w:val="CommentText"/>
    <w:next w:val="CommentText"/>
    <w:link w:val="CommentSubjectChar"/>
    <w:uiPriority w:val="99"/>
    <w:semiHidden/>
    <w:unhideWhenUsed/>
    <w:rsid w:val="00CE372A"/>
    <w:rPr>
      <w:b/>
      <w:bCs/>
    </w:rPr>
  </w:style>
  <w:style w:type="character" w:customStyle="1" w:styleId="CommentSubjectChar">
    <w:name w:val="Comment Subject Char"/>
    <w:basedOn w:val="CommentTextChar"/>
    <w:link w:val="CommentSubject"/>
    <w:uiPriority w:val="99"/>
    <w:semiHidden/>
    <w:rsid w:val="00CE372A"/>
    <w:rPr>
      <w:b/>
      <w:bCs/>
      <w:sz w:val="20"/>
      <w:szCs w:val="20"/>
      <w:lang w:val="en-CA"/>
    </w:rPr>
  </w:style>
  <w:style w:type="character" w:styleId="Hyperlink">
    <w:name w:val="Hyperlink"/>
    <w:basedOn w:val="DefaultParagraphFont"/>
    <w:uiPriority w:val="99"/>
    <w:unhideWhenUsed/>
    <w:rsid w:val="00CE372A"/>
    <w:rPr>
      <w:color w:val="467886" w:themeColor="hyperlink"/>
      <w:u w:val="single"/>
    </w:rPr>
  </w:style>
  <w:style w:type="character" w:styleId="UnresolvedMention">
    <w:name w:val="Unresolved Mention"/>
    <w:basedOn w:val="DefaultParagraphFont"/>
    <w:uiPriority w:val="99"/>
    <w:semiHidden/>
    <w:unhideWhenUsed/>
    <w:rsid w:val="00CE372A"/>
    <w:rPr>
      <w:color w:val="605E5C"/>
      <w:shd w:val="clear" w:color="auto" w:fill="E1DFDD"/>
    </w:rPr>
  </w:style>
  <w:style w:type="paragraph" w:styleId="Revision">
    <w:name w:val="Revision"/>
    <w:hidden/>
    <w:uiPriority w:val="99"/>
    <w:semiHidden/>
    <w:rsid w:val="002A7DDA"/>
    <w:pPr>
      <w:spacing w:after="0" w:line="240" w:lineRule="auto"/>
    </w:pPr>
    <w:rPr>
      <w:lang w:val="en-CA"/>
    </w:rPr>
  </w:style>
  <w:style w:type="paragraph" w:styleId="Header">
    <w:name w:val="header"/>
    <w:basedOn w:val="Normal"/>
    <w:link w:val="HeaderChar"/>
    <w:uiPriority w:val="99"/>
    <w:unhideWhenUsed/>
    <w:rsid w:val="003A7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03B"/>
    <w:rPr>
      <w:lang w:val="en-CA"/>
    </w:rPr>
  </w:style>
  <w:style w:type="paragraph" w:styleId="Footer">
    <w:name w:val="footer"/>
    <w:basedOn w:val="Normal"/>
    <w:link w:val="FooterChar"/>
    <w:uiPriority w:val="99"/>
    <w:unhideWhenUsed/>
    <w:rsid w:val="003A7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03B"/>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lii.org/en/on/onsc/doc/2025/2025canlii134390/2025canlii134390.html?resultId=undefined&amp;searchId=2026-07-27T10:47:54:366/dd66ebb59cf64c9485822388db20673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9A8B7-95C2-4756-A06B-898540EA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1178</Words>
  <Characters>6449</Characters>
  <Application>Microsoft Office Word</Application>
  <DocSecurity>0</DocSecurity>
  <Lines>93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 J. Dookie</dc:creator>
  <cp:keywords/>
  <dc:description/>
  <cp:lastModifiedBy>Markus Rotterdam</cp:lastModifiedBy>
  <cp:revision>8</cp:revision>
  <dcterms:created xsi:type="dcterms:W3CDTF">2026-06-10T12:14:00Z</dcterms:created>
  <dcterms:modified xsi:type="dcterms:W3CDTF">2026-07-29T12:30:00Z</dcterms:modified>
</cp:coreProperties>
</file>